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rPr>
      </w:pPr>
    </w:p>
    <w:p>
      <w:pPr>
        <w:widowControl/>
        <w:jc w:val="center"/>
      </w:pPr>
    </w:p>
    <w:p>
      <w:pPr>
        <w:widowControl/>
        <w:jc w:val="center"/>
      </w:pPr>
    </w:p>
    <w:p>
      <w:pPr>
        <w:widowControl/>
        <w:jc w:val="center"/>
      </w:pPr>
    </w:p>
    <w:p>
      <w:pPr>
        <w:widowControl/>
        <w:jc w:val="center"/>
      </w:pPr>
    </w:p>
    <w:p>
      <w:pPr>
        <w:widowControl/>
        <w:jc w:val="center"/>
      </w:pPr>
    </w:p>
    <w:p>
      <w:pPr>
        <w:widowControl/>
        <w:jc w:val="center"/>
        <w:rPr>
          <w:b/>
          <w:bCs/>
          <w:sz w:val="52"/>
          <w:szCs w:val="52"/>
        </w:rPr>
      </w:pPr>
      <w:r>
        <w:rPr>
          <w:rFonts w:hint="eastAsia"/>
          <w:b/>
          <w:bCs/>
          <w:sz w:val="52"/>
          <w:szCs w:val="52"/>
        </w:rPr>
        <w:t>河南卫生信息标准</w:t>
      </w:r>
    </w:p>
    <w:p>
      <w:pPr>
        <w:widowControl/>
        <w:jc w:val="center"/>
      </w:pPr>
    </w:p>
    <w:p>
      <w:pPr>
        <w:widowControl/>
        <w:jc w:val="center"/>
        <w:rPr>
          <w:b/>
          <w:bCs/>
          <w:sz w:val="32"/>
          <w:szCs w:val="32"/>
        </w:rPr>
      </w:pPr>
      <w:r>
        <w:rPr>
          <w:rFonts w:hint="eastAsia"/>
          <w:b/>
          <w:bCs/>
          <w:sz w:val="32"/>
          <w:szCs w:val="32"/>
        </w:rPr>
        <w:t>第二部分 值域字典部分</w:t>
      </w: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rPr>
          <w:sz w:val="28"/>
          <w:szCs w:val="28"/>
        </w:rPr>
      </w:pPr>
      <w:r>
        <w:rPr>
          <w:rFonts w:hint="eastAsia"/>
          <w:sz w:val="28"/>
          <w:szCs w:val="28"/>
        </w:rPr>
        <w:t>发布单位：河南卫生健康委员会统计信息中心</w:t>
      </w:r>
    </w:p>
    <w:p>
      <w:pPr>
        <w:widowControl/>
        <w:jc w:val="center"/>
        <w:rPr>
          <w:sz w:val="28"/>
          <w:szCs w:val="28"/>
        </w:rPr>
      </w:pPr>
      <w:r>
        <w:rPr>
          <w:rFonts w:hint="eastAsia"/>
          <w:sz w:val="28"/>
          <w:szCs w:val="28"/>
        </w:rPr>
        <w:t>发布日期：2022.08</w:t>
      </w:r>
    </w:p>
    <w:p>
      <w:pPr>
        <w:widowControl/>
        <w:jc w:val="center"/>
      </w:pPr>
    </w:p>
    <w:p>
      <w:pPr>
        <w:widowControl/>
        <w:jc w:val="center"/>
      </w:pPr>
    </w:p>
    <w:p>
      <w:pPr>
        <w:widowControl/>
        <w:jc w:val="left"/>
      </w:pPr>
      <w:r>
        <w:br w:type="page"/>
      </w:r>
    </w:p>
    <w:p>
      <w:pPr>
        <w:pStyle w:val="2"/>
        <w:numPr>
          <w:ilvl w:val="0"/>
          <w:numId w:val="1"/>
        </w:numPr>
        <w:spacing w:before="0" w:after="0" w:line="480" w:lineRule="auto"/>
        <w:jc w:val="left"/>
      </w:pPr>
      <w:r>
        <w:rPr>
          <w:rFonts w:hint="eastAsia"/>
        </w:rPr>
        <w:t>前言</w:t>
      </w:r>
    </w:p>
    <w:p>
      <w:pPr>
        <w:ind w:firstLine="420"/>
      </w:pPr>
      <w:r>
        <w:rPr>
          <w:rFonts w:hint="eastAsia"/>
        </w:rPr>
        <w:t>本标准由河南省卫生健康委员会统计信息中心负责组织制订，规定了河南省医疗卫生信息的标准编码，是实现医疗卫生信息数据共享的基础。</w:t>
      </w:r>
    </w:p>
    <w:p>
      <w:pPr>
        <w:ind w:firstLine="420"/>
      </w:pPr>
      <w:r>
        <w:rPr>
          <w:rFonts w:hint="eastAsia"/>
        </w:rPr>
        <w:t>适用于河南省各级卫生行政部门、各类医疗卫生机构。</w:t>
      </w:r>
    </w:p>
    <w:p>
      <w:pPr>
        <w:ind w:firstLine="420"/>
      </w:pPr>
      <w:r>
        <w:rPr>
          <w:rFonts w:hint="eastAsia"/>
        </w:rPr>
        <w:t>本部分发布的内容包含：国家标准字典、</w:t>
      </w:r>
      <w:r>
        <w:t>WS 36</w:t>
      </w:r>
      <w:r>
        <w:rPr>
          <w:rFonts w:hint="eastAsia"/>
        </w:rPr>
        <w:t>4-</w:t>
      </w:r>
      <w:r>
        <w:t>2011</w:t>
      </w:r>
      <w:r>
        <w:rPr>
          <w:rFonts w:hint="eastAsia"/>
        </w:rPr>
        <w:t>卫生信息数据元值域代码、</w:t>
      </w:r>
      <w:r>
        <w:t>以及河南省业务标准扩展字典</w:t>
      </w:r>
      <w:r>
        <w:rPr>
          <w:rFonts w:hint="eastAsia"/>
        </w:rPr>
        <w:t>。</w:t>
      </w:r>
    </w:p>
    <w:p>
      <w:pPr>
        <w:ind w:firstLine="420"/>
      </w:pPr>
    </w:p>
    <w:p>
      <w:pPr>
        <w:pStyle w:val="2"/>
        <w:numPr>
          <w:ilvl w:val="0"/>
          <w:numId w:val="1"/>
        </w:numPr>
        <w:spacing w:before="0" w:after="0" w:line="480" w:lineRule="auto"/>
        <w:jc w:val="left"/>
      </w:pPr>
      <w:r>
        <w:rPr>
          <w:rFonts w:hint="eastAsia"/>
        </w:rPr>
        <w:t>编制说明</w:t>
      </w:r>
    </w:p>
    <w:p>
      <w:pPr>
        <w:ind w:firstLine="420"/>
        <w:rPr>
          <w:szCs w:val="24"/>
        </w:rPr>
      </w:pPr>
      <w:r>
        <w:rPr>
          <w:rFonts w:hint="eastAsia"/>
          <w:szCs w:val="24"/>
        </w:rPr>
        <w:t>卫</w:t>
      </w:r>
      <w:r>
        <w:rPr>
          <w:szCs w:val="24"/>
        </w:rPr>
        <w:t>生信</w:t>
      </w:r>
      <w:r>
        <w:rPr>
          <w:rFonts w:hint="eastAsia"/>
          <w:szCs w:val="24"/>
        </w:rPr>
        <w:t>息数据元值域代码表</w:t>
      </w:r>
      <w:r>
        <w:rPr>
          <w:szCs w:val="24"/>
        </w:rPr>
        <w:t>的标识符根据卫生信息的归类确定。</w:t>
      </w:r>
    </w:p>
    <w:p>
      <w:pPr>
        <w:rPr>
          <w:szCs w:val="24"/>
        </w:rPr>
      </w:pPr>
      <w:r>
        <w:rPr>
          <w:rFonts w:hint="eastAsia"/>
          <w:szCs w:val="24"/>
        </w:rPr>
        <w:t>包含了三种编码格式：</w:t>
      </w:r>
    </w:p>
    <w:p>
      <w:pPr>
        <w:pStyle w:val="19"/>
        <w:numPr>
          <w:ilvl w:val="0"/>
          <w:numId w:val="2"/>
        </w:numPr>
        <w:ind w:firstLineChars="0"/>
        <w:rPr>
          <w:szCs w:val="24"/>
        </w:rPr>
      </w:pPr>
      <w:r>
        <w:rPr>
          <w:rFonts w:hint="eastAsia"/>
          <w:szCs w:val="24"/>
        </w:rPr>
        <w:t>数据元值域直接采用</w:t>
      </w:r>
      <w:r>
        <w:rPr>
          <w:szCs w:val="24"/>
        </w:rPr>
        <w:t>WS 364-2011卫生信息数据元值域代码</w:t>
      </w:r>
      <w:r>
        <w:rPr>
          <w:rFonts w:hint="eastAsia"/>
          <w:szCs w:val="24"/>
        </w:rPr>
        <w:t>中的标准代码，其代码保持不变，如值域代码</w:t>
      </w:r>
      <w:r>
        <w:rPr>
          <w:szCs w:val="24"/>
        </w:rPr>
        <w:t>CV02.01.104</w:t>
      </w:r>
      <w:r>
        <w:rPr>
          <w:rFonts w:hint="eastAsia"/>
          <w:szCs w:val="24"/>
        </w:rPr>
        <w:t>患者归属代码表</w:t>
      </w:r>
      <w:r>
        <w:rPr>
          <w:szCs w:val="24"/>
        </w:rPr>
        <w:t>;</w:t>
      </w:r>
    </w:p>
    <w:p>
      <w:pPr>
        <w:pStyle w:val="19"/>
        <w:numPr>
          <w:ilvl w:val="0"/>
          <w:numId w:val="2"/>
        </w:numPr>
        <w:ind w:firstLineChars="0"/>
        <w:rPr>
          <w:szCs w:val="24"/>
        </w:rPr>
      </w:pPr>
      <w:r>
        <w:rPr>
          <w:rFonts w:hint="eastAsia"/>
          <w:szCs w:val="24"/>
        </w:rPr>
        <w:t>数据元值域为在</w:t>
      </w:r>
      <w:r>
        <w:rPr>
          <w:szCs w:val="24"/>
        </w:rPr>
        <w:t>WS 364-2011卫生信息数据元值域代码</w:t>
      </w:r>
      <w:r>
        <w:rPr>
          <w:rFonts w:hint="eastAsia"/>
          <w:szCs w:val="24"/>
        </w:rPr>
        <w:t>基础上修改完善的，其代码为在原代码前加H</w:t>
      </w:r>
      <w:r>
        <w:rPr>
          <w:szCs w:val="24"/>
        </w:rPr>
        <w:t>A</w:t>
      </w:r>
      <w:r>
        <w:rPr>
          <w:rFonts w:hint="eastAsia"/>
          <w:szCs w:val="24"/>
        </w:rPr>
        <w:t>；</w:t>
      </w:r>
    </w:p>
    <w:p>
      <w:pPr>
        <w:pStyle w:val="19"/>
        <w:ind w:left="360" w:firstLine="0" w:firstLineChars="0"/>
        <w:rPr>
          <w:szCs w:val="24"/>
        </w:rPr>
      </w:pPr>
      <w:r>
        <w:rPr>
          <w:rFonts w:hint="eastAsia"/>
          <w:szCs w:val="24"/>
        </w:rPr>
        <w:t>如原值域代码</w:t>
      </w:r>
      <w:r>
        <w:rPr>
          <w:szCs w:val="24"/>
        </w:rPr>
        <w:t>CV02.01.101</w:t>
      </w:r>
      <w:r>
        <w:rPr>
          <w:rFonts w:hint="eastAsia"/>
          <w:szCs w:val="24"/>
        </w:rPr>
        <w:t>身份证件类别代码表，本次修订在基础上增加了08</w:t>
      </w:r>
      <w:r>
        <w:rPr>
          <w:szCs w:val="24"/>
        </w:rPr>
        <w:t xml:space="preserve"> </w:t>
      </w:r>
      <w:r>
        <w:rPr>
          <w:rFonts w:hint="eastAsia"/>
          <w:szCs w:val="24"/>
        </w:rPr>
        <w:t>中国人民武装警察身份证件，修订后的值域代码为H</w:t>
      </w:r>
      <w:r>
        <w:rPr>
          <w:szCs w:val="24"/>
        </w:rPr>
        <w:t>ACV02.01.101;</w:t>
      </w:r>
    </w:p>
    <w:p>
      <w:pPr>
        <w:rPr>
          <w:szCs w:val="24"/>
        </w:rPr>
      </w:pPr>
      <w:r>
        <w:rPr>
          <w:rFonts w:hint="eastAsia"/>
          <w:szCs w:val="24"/>
        </w:rPr>
        <w:t>3、数据元值域不在</w:t>
      </w:r>
      <w:r>
        <w:rPr>
          <w:szCs w:val="24"/>
        </w:rPr>
        <w:t>WS 364-2011卫生信息数据元值域代码</w:t>
      </w:r>
      <w:r>
        <w:rPr>
          <w:rFonts w:hint="eastAsia"/>
          <w:szCs w:val="24"/>
        </w:rPr>
        <w:t>中时，采用本地编码格式，其</w:t>
      </w:r>
      <w:r>
        <w:rPr>
          <w:szCs w:val="24"/>
        </w:rPr>
        <w:t>结构为</w:t>
      </w:r>
      <w:r>
        <w:rPr>
          <w:rFonts w:hint="eastAsia"/>
          <w:szCs w:val="24"/>
        </w:rPr>
        <w:t>：</w:t>
      </w:r>
      <w:r>
        <w:rPr>
          <w:szCs w:val="24"/>
        </w:rPr>
        <w:t>HACT+7位数字</w:t>
      </w:r>
      <w:r>
        <w:rPr>
          <w:rFonts w:hint="eastAsia"/>
          <w:szCs w:val="24"/>
        </w:rPr>
        <w:t>，</w:t>
      </w:r>
      <w:r>
        <w:rPr>
          <w:szCs w:val="24"/>
        </w:rPr>
        <w:t>组成总长度为1</w:t>
      </w:r>
      <w:r>
        <w:rPr>
          <w:rFonts w:hint="eastAsia"/>
          <w:szCs w:val="24"/>
        </w:rPr>
        <w:t>3</w:t>
      </w:r>
      <w:r>
        <w:rPr>
          <w:szCs w:val="24"/>
        </w:rPr>
        <w:t>位的字母数字混合码</w:t>
      </w:r>
      <w:r>
        <w:rPr>
          <w:rFonts w:hint="eastAsia"/>
          <w:szCs w:val="24"/>
        </w:rPr>
        <w:t>，</w:t>
      </w:r>
      <w:r>
        <w:rPr>
          <w:szCs w:val="24"/>
        </w:rPr>
        <w:t>包括2个分隔符号“</w:t>
      </w:r>
      <w:r>
        <w:rPr>
          <w:rFonts w:hint="eastAsia"/>
          <w:szCs w:val="24"/>
        </w:rPr>
        <w:t>.</w:t>
      </w:r>
      <w:r>
        <w:rPr>
          <w:szCs w:val="24"/>
        </w:rPr>
        <w:t>”。</w:t>
      </w:r>
    </w:p>
    <w:p>
      <w:pPr>
        <w:ind w:firstLine="420"/>
        <w:rPr>
          <w:szCs w:val="24"/>
        </w:rPr>
      </w:pPr>
    </w:p>
    <w:p>
      <w:pPr>
        <w:ind w:firstLine="420"/>
        <w:rPr>
          <w:szCs w:val="24"/>
        </w:rPr>
      </w:pPr>
      <w:r>
        <w:rPr>
          <w:szCs w:val="24"/>
        </w:rPr>
        <w:t>结构</w:t>
      </w:r>
      <w:r>
        <w:rPr>
          <w:rFonts w:hint="eastAsia"/>
          <w:szCs w:val="24"/>
        </w:rPr>
        <w:t>顺序为：H</w:t>
      </w:r>
      <w:r>
        <w:rPr>
          <w:szCs w:val="24"/>
        </w:rPr>
        <w:t>ACT</w:t>
      </w:r>
      <w:r>
        <w:rPr>
          <w:rFonts w:hint="eastAsia"/>
          <w:szCs w:val="24"/>
        </w:rPr>
        <w:t>大类</w:t>
      </w:r>
      <w:r>
        <w:rPr>
          <w:szCs w:val="24"/>
        </w:rPr>
        <w:t>代码</w:t>
      </w:r>
      <w:r>
        <w:rPr>
          <w:rFonts w:hint="eastAsia"/>
          <w:szCs w:val="24"/>
        </w:rPr>
        <w:t>.小类代</w:t>
      </w:r>
      <w:r>
        <w:rPr>
          <w:szCs w:val="24"/>
        </w:rPr>
        <w:t>码</w:t>
      </w:r>
      <w:r>
        <w:rPr>
          <w:rFonts w:hint="eastAsia"/>
          <w:szCs w:val="24"/>
        </w:rPr>
        <w:t>.顺序</w:t>
      </w:r>
      <w:r>
        <w:rPr>
          <w:szCs w:val="24"/>
        </w:rPr>
        <w:t>号</w:t>
      </w:r>
      <w:r>
        <w:rPr>
          <w:rFonts w:hint="eastAsia"/>
          <w:szCs w:val="24"/>
        </w:rPr>
        <w:t>，示例：</w:t>
      </w:r>
      <w:r>
        <w:rPr>
          <w:szCs w:val="24"/>
        </w:rPr>
        <w:t>HACT00.00.000</w:t>
      </w:r>
    </w:p>
    <w:p>
      <w:pPr>
        <w:ind w:firstLine="420"/>
        <w:rPr>
          <w:szCs w:val="24"/>
        </w:rPr>
      </w:pPr>
      <w:r>
        <w:rPr>
          <w:rFonts w:hint="eastAsia"/>
          <w:szCs w:val="24"/>
        </w:rPr>
        <w:t>H</w:t>
      </w:r>
      <w:r>
        <w:rPr>
          <w:szCs w:val="24"/>
        </w:rPr>
        <w:t>A——</w:t>
      </w:r>
      <w:r>
        <w:rPr>
          <w:rFonts w:hint="eastAsia"/>
          <w:szCs w:val="24"/>
        </w:rPr>
        <w:t>按照中国互联网域名体系中行政区域名，河南为H</w:t>
      </w:r>
      <w:r>
        <w:rPr>
          <w:szCs w:val="24"/>
        </w:rPr>
        <w:t>A</w:t>
      </w:r>
      <w:r>
        <w:rPr>
          <w:rFonts w:hint="eastAsia"/>
          <w:szCs w:val="24"/>
        </w:rPr>
        <w:t>；</w:t>
      </w:r>
    </w:p>
    <w:p>
      <w:pPr>
        <w:ind w:firstLine="420"/>
        <w:rPr>
          <w:szCs w:val="24"/>
        </w:rPr>
      </w:pPr>
      <w:r>
        <w:rPr>
          <w:szCs w:val="24"/>
        </w:rPr>
        <w:t>CT——表示数据元值域的</w:t>
      </w:r>
      <w:r>
        <w:rPr>
          <w:rFonts w:hint="eastAsia"/>
          <w:szCs w:val="24"/>
        </w:rPr>
        <w:t>本地标准</w:t>
      </w:r>
      <w:r>
        <w:rPr>
          <w:szCs w:val="24"/>
        </w:rPr>
        <w:t>编码值</w:t>
      </w:r>
      <w:r>
        <w:rPr>
          <w:rFonts w:hint="eastAsia"/>
          <w:szCs w:val="24"/>
        </w:rPr>
        <w:t>；</w:t>
      </w:r>
    </w:p>
    <w:p>
      <w:pPr>
        <w:ind w:firstLine="420"/>
        <w:rPr>
          <w:szCs w:val="24"/>
        </w:rPr>
      </w:pPr>
      <w:r>
        <w:rPr>
          <w:rFonts w:hint="eastAsia"/>
          <w:szCs w:val="24"/>
        </w:rPr>
        <w:t>大类代码——</w:t>
      </w:r>
      <w:r>
        <w:rPr>
          <w:szCs w:val="24"/>
        </w:rPr>
        <w:t>2位数字</w:t>
      </w:r>
      <w:r>
        <w:rPr>
          <w:rFonts w:hint="eastAsia"/>
          <w:szCs w:val="24"/>
        </w:rPr>
        <w:t>，</w:t>
      </w:r>
      <w:r>
        <w:rPr>
          <w:szCs w:val="24"/>
        </w:rPr>
        <w:t>表示</w:t>
      </w:r>
      <w:r>
        <w:rPr>
          <w:rFonts w:hint="eastAsia"/>
          <w:szCs w:val="24"/>
        </w:rPr>
        <w:t>河南卫生</w:t>
      </w:r>
      <w:r>
        <w:rPr>
          <w:szCs w:val="24"/>
        </w:rPr>
        <w:t>信息</w:t>
      </w:r>
      <w:r>
        <w:rPr>
          <w:rFonts w:hint="eastAsia"/>
          <w:szCs w:val="24"/>
        </w:rPr>
        <w:t>数据集</w:t>
      </w:r>
      <w:r>
        <w:rPr>
          <w:szCs w:val="24"/>
        </w:rPr>
        <w:t>分类中第一层(大类)的代码</w:t>
      </w:r>
      <w:r>
        <w:rPr>
          <w:rFonts w:hint="eastAsia"/>
          <w:szCs w:val="24"/>
        </w:rPr>
        <w:t>，</w:t>
      </w:r>
      <w:r>
        <w:rPr>
          <w:szCs w:val="24"/>
        </w:rPr>
        <w:t>见表A.1。</w:t>
      </w:r>
    </w:p>
    <w:p>
      <w:pPr>
        <w:ind w:firstLine="420"/>
        <w:rPr>
          <w:szCs w:val="24"/>
        </w:rPr>
      </w:pPr>
      <w:r>
        <w:rPr>
          <w:rFonts w:hint="eastAsia"/>
          <w:szCs w:val="24"/>
        </w:rPr>
        <w:t>小类代码——</w:t>
      </w:r>
      <w:r>
        <w:rPr>
          <w:szCs w:val="24"/>
        </w:rPr>
        <w:t>2位数字</w:t>
      </w:r>
      <w:r>
        <w:rPr>
          <w:rFonts w:hint="eastAsia"/>
          <w:szCs w:val="24"/>
        </w:rPr>
        <w:t>，</w:t>
      </w:r>
      <w:r>
        <w:rPr>
          <w:szCs w:val="24"/>
        </w:rPr>
        <w:t>表示</w:t>
      </w:r>
      <w:r>
        <w:rPr>
          <w:rFonts w:hint="eastAsia"/>
          <w:szCs w:val="24"/>
        </w:rPr>
        <w:t>河南卫生</w:t>
      </w:r>
      <w:r>
        <w:rPr>
          <w:szCs w:val="24"/>
        </w:rPr>
        <w:t>信息</w:t>
      </w:r>
      <w:r>
        <w:rPr>
          <w:rFonts w:hint="eastAsia"/>
          <w:szCs w:val="24"/>
        </w:rPr>
        <w:t>数据集</w:t>
      </w:r>
      <w:r>
        <w:rPr>
          <w:szCs w:val="24"/>
        </w:rPr>
        <w:t>分类中第二层(小类)的代码</w:t>
      </w:r>
      <w:r>
        <w:rPr>
          <w:rFonts w:hint="eastAsia"/>
          <w:szCs w:val="24"/>
        </w:rPr>
        <w:t>，目前统一暂定为“00”</w:t>
      </w:r>
      <w:r>
        <w:rPr>
          <w:szCs w:val="24"/>
        </w:rPr>
        <w:t>。</w:t>
      </w:r>
      <w:r>
        <w:rPr>
          <w:rFonts w:hint="eastAsia"/>
          <w:szCs w:val="24"/>
        </w:rPr>
        <w:t>小类代码和大类代码之</w:t>
      </w:r>
      <w:r>
        <w:rPr>
          <w:szCs w:val="24"/>
        </w:rPr>
        <w:t>间加“</w:t>
      </w:r>
      <w:r>
        <w:rPr>
          <w:rFonts w:hint="eastAsia"/>
          <w:szCs w:val="24"/>
        </w:rPr>
        <w:t>.</w:t>
      </w:r>
      <w:r>
        <w:rPr>
          <w:szCs w:val="24"/>
        </w:rPr>
        <w:t>”隔开。</w:t>
      </w:r>
    </w:p>
    <w:p>
      <w:pPr>
        <w:ind w:firstLine="420"/>
        <w:rPr>
          <w:szCs w:val="24"/>
        </w:rPr>
      </w:pPr>
      <w:r>
        <w:rPr>
          <w:rFonts w:hint="eastAsia"/>
          <w:szCs w:val="24"/>
        </w:rPr>
        <w:t>顺序号——</w:t>
      </w:r>
      <w:r>
        <w:rPr>
          <w:szCs w:val="24"/>
        </w:rPr>
        <w:t>用3位数字表示</w:t>
      </w:r>
      <w:r>
        <w:rPr>
          <w:rFonts w:hint="eastAsia"/>
          <w:szCs w:val="24"/>
        </w:rPr>
        <w:t>，</w:t>
      </w:r>
      <w:r>
        <w:rPr>
          <w:szCs w:val="24"/>
        </w:rPr>
        <w:t>代表每一类别下值域代码表的序号</w:t>
      </w:r>
      <w:r>
        <w:rPr>
          <w:rFonts w:hint="eastAsia"/>
          <w:szCs w:val="24"/>
        </w:rPr>
        <w:t>，</w:t>
      </w:r>
      <w:r>
        <w:rPr>
          <w:szCs w:val="24"/>
        </w:rPr>
        <w:t>数字大小无含义</w:t>
      </w:r>
      <w:r>
        <w:rPr>
          <w:rFonts w:hint="eastAsia"/>
          <w:szCs w:val="24"/>
        </w:rPr>
        <w:t>，</w:t>
      </w:r>
      <w:r>
        <w:rPr>
          <w:szCs w:val="24"/>
        </w:rPr>
        <w:t>从001开始编</w:t>
      </w:r>
      <w:r>
        <w:rPr>
          <w:rFonts w:hint="eastAsia"/>
          <w:szCs w:val="24"/>
        </w:rPr>
        <w:t>码</w:t>
      </w:r>
      <w:r>
        <w:rPr>
          <w:szCs w:val="24"/>
        </w:rPr>
        <w:t>。顺序号与类别代码之间加“</w:t>
      </w:r>
      <w:r>
        <w:rPr>
          <w:rFonts w:hint="eastAsia"/>
          <w:szCs w:val="24"/>
        </w:rPr>
        <w:t>.</w:t>
      </w:r>
      <w:r>
        <w:rPr>
          <w:szCs w:val="24"/>
        </w:rPr>
        <w:t>”隔开。</w:t>
      </w:r>
    </w:p>
    <w:p>
      <w:pPr>
        <w:rPr>
          <w:szCs w:val="24"/>
        </w:rPr>
      </w:pPr>
    </w:p>
    <w:p>
      <w:pPr>
        <w:jc w:val="center"/>
        <w:rPr>
          <w:szCs w:val="24"/>
        </w:rPr>
      </w:pPr>
      <w:r>
        <w:rPr>
          <w:rFonts w:hint="eastAsia"/>
          <w:szCs w:val="24"/>
        </w:rPr>
        <w:t>表A</w:t>
      </w:r>
      <w:r>
        <w:rPr>
          <w:szCs w:val="24"/>
        </w:rPr>
        <w:t xml:space="preserve">.1 </w:t>
      </w:r>
      <w:r>
        <w:rPr>
          <w:rFonts w:hint="eastAsia"/>
          <w:szCs w:val="24"/>
        </w:rPr>
        <w:t>河南卫生</w:t>
      </w:r>
      <w:r>
        <w:rPr>
          <w:szCs w:val="24"/>
        </w:rPr>
        <w:t>信息</w:t>
      </w:r>
      <w:r>
        <w:rPr>
          <w:rFonts w:hint="eastAsia"/>
          <w:szCs w:val="24"/>
        </w:rPr>
        <w:t>数据集</w:t>
      </w:r>
      <w:r>
        <w:rPr>
          <w:szCs w:val="24"/>
        </w:rPr>
        <w:t>分类</w:t>
      </w:r>
    </w:p>
    <w:tbl>
      <w:tblPr>
        <w:tblStyle w:val="11"/>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6095"/>
      </w:tblGrid>
      <w:tr>
        <w:tblPrEx>
          <w:tblLayout w:type="fixed"/>
          <w:tblCellMar>
            <w:top w:w="0" w:type="dxa"/>
            <w:left w:w="108" w:type="dxa"/>
            <w:bottom w:w="0" w:type="dxa"/>
            <w:right w:w="108" w:type="dxa"/>
          </w:tblCellMar>
        </w:tblPrEx>
        <w:tc>
          <w:tcPr>
            <w:tcW w:w="988" w:type="dxa"/>
            <w:shd w:val="clear" w:color="auto" w:fill="E7E6E6" w:themeFill="background2"/>
            <w:vAlign w:val="center"/>
          </w:tcPr>
          <w:p>
            <w:pPr>
              <w:keepNext w:val="0"/>
              <w:keepLines w:val="0"/>
              <w:suppressLineNumbers w:val="0"/>
              <w:spacing w:before="0" w:beforeAutospacing="0" w:after="0" w:afterAutospacing="0"/>
              <w:ind w:left="0" w:right="0"/>
              <w:jc w:val="center"/>
              <w:rPr>
                <w:rFonts w:hint="eastAsia"/>
                <w:szCs w:val="24"/>
              </w:rPr>
            </w:pPr>
            <w:r>
              <w:rPr>
                <w:rFonts w:hint="eastAsia"/>
                <w:szCs w:val="24"/>
              </w:rPr>
              <w:t>大类</w:t>
            </w:r>
          </w:p>
        </w:tc>
        <w:tc>
          <w:tcPr>
            <w:tcW w:w="1134" w:type="dxa"/>
            <w:shd w:val="clear" w:color="auto" w:fill="E7E6E6" w:themeFill="background2"/>
            <w:vAlign w:val="center"/>
          </w:tcPr>
          <w:p>
            <w:pPr>
              <w:keepNext w:val="0"/>
              <w:keepLines w:val="0"/>
              <w:suppressLineNumbers w:val="0"/>
              <w:spacing w:before="0" w:beforeAutospacing="0" w:after="0" w:afterAutospacing="0"/>
              <w:ind w:left="0" w:right="0"/>
              <w:jc w:val="center"/>
              <w:rPr>
                <w:rFonts w:hint="eastAsia"/>
                <w:szCs w:val="24"/>
              </w:rPr>
            </w:pPr>
            <w:r>
              <w:rPr>
                <w:rFonts w:hint="eastAsia"/>
                <w:szCs w:val="24"/>
              </w:rPr>
              <w:t>小类</w:t>
            </w:r>
          </w:p>
        </w:tc>
        <w:tc>
          <w:tcPr>
            <w:tcW w:w="6095" w:type="dxa"/>
            <w:shd w:val="clear" w:color="auto" w:fill="E7E6E6" w:themeFill="background2"/>
            <w:vAlign w:val="center"/>
          </w:tcPr>
          <w:p>
            <w:pPr>
              <w:keepNext w:val="0"/>
              <w:keepLines w:val="0"/>
              <w:suppressLineNumbers w:val="0"/>
              <w:spacing w:before="0" w:beforeAutospacing="0" w:after="0" w:afterAutospacing="0"/>
              <w:ind w:left="0" w:right="0"/>
              <w:jc w:val="center"/>
              <w:rPr>
                <w:rFonts w:hint="eastAsia"/>
                <w:szCs w:val="24"/>
              </w:rPr>
            </w:pPr>
            <w:r>
              <w:rPr>
                <w:rFonts w:hint="eastAsia"/>
                <w:szCs w:val="24"/>
              </w:rPr>
              <w:t>说明</w:t>
            </w:r>
          </w:p>
        </w:tc>
      </w:tr>
      <w:tr>
        <w:tblPrEx>
          <w:tblLayout w:type="fixed"/>
          <w:tblCellMar>
            <w:top w:w="0" w:type="dxa"/>
            <w:left w:w="108" w:type="dxa"/>
            <w:bottom w:w="0" w:type="dxa"/>
            <w:right w:w="108" w:type="dxa"/>
          </w:tblCellMar>
        </w:tblPrEx>
        <w:trPr>
          <w:trHeight w:val="320" w:hRule="atLeast"/>
        </w:trPr>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00</w:t>
            </w:r>
          </w:p>
        </w:tc>
        <w:tc>
          <w:tcPr>
            <w:tcW w:w="1134" w:type="dxa"/>
          </w:tcPr>
          <w:p>
            <w:pPr>
              <w:keepNext w:val="0"/>
              <w:keepLines w:val="0"/>
              <w:suppressLineNumbers w:val="0"/>
              <w:spacing w:before="0" w:beforeAutospacing="0" w:after="0" w:afterAutospacing="0"/>
              <w:ind w:left="0" w:right="0"/>
              <w:rPr>
                <w:rFonts w:hint="eastAsia"/>
                <w:szCs w:val="24"/>
              </w:rPr>
            </w:pPr>
            <w:r>
              <w:rPr>
                <w:rFonts w:hint="eastAsia"/>
                <w:szCs w:val="24"/>
              </w:rPr>
              <w:t>00</w:t>
            </w: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符合GBT规范的代码</w:t>
            </w:r>
          </w:p>
        </w:tc>
      </w:tr>
      <w:tr>
        <w:tblPrEx>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01</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A_河南卫生信息数据集（基础信息管理）</w:t>
            </w:r>
          </w:p>
        </w:tc>
      </w:tr>
      <w:tr>
        <w:tblPrEx>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02</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B_河南卫生信息数据集（基本健康档案）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03</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C_河南卫生信息数据集（慢病管理数据）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04</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D_河南卫生信息数据集（老年保健数据）</w:t>
            </w:r>
          </w:p>
        </w:tc>
      </w:tr>
      <w:tr>
        <w:tblPrEx>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07</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G_河南卫生信息数据集（重点传染病等）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13</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M_河南卫生信息数据集（医疗门诊数据）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14</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N_河南卫生信息数据集（医疗住院数据）</w:t>
            </w:r>
          </w:p>
        </w:tc>
      </w:tr>
      <w:tr>
        <w:tblPrEx>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15</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O_河南卫生信息数据集（医疗检验检查）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8" w:type="dxa"/>
          </w:tcPr>
          <w:p>
            <w:pPr>
              <w:keepNext w:val="0"/>
              <w:keepLines w:val="0"/>
              <w:suppressLineNumbers w:val="0"/>
              <w:spacing w:before="0" w:beforeAutospacing="0" w:after="0" w:afterAutospacing="0"/>
              <w:ind w:left="0" w:right="0"/>
              <w:rPr>
                <w:rFonts w:hint="eastAsia"/>
                <w:szCs w:val="24"/>
              </w:rPr>
            </w:pPr>
            <w:r>
              <w:rPr>
                <w:rFonts w:hint="eastAsia"/>
                <w:szCs w:val="24"/>
              </w:rPr>
              <w:t>16</w:t>
            </w:r>
          </w:p>
        </w:tc>
        <w:tc>
          <w:tcPr>
            <w:tcW w:w="1134" w:type="dxa"/>
          </w:tcPr>
          <w:p>
            <w:pPr>
              <w:keepNext w:val="0"/>
              <w:keepLines w:val="0"/>
              <w:suppressLineNumbers w:val="0"/>
              <w:spacing w:before="0" w:beforeAutospacing="0" w:after="0" w:afterAutospacing="0"/>
              <w:ind w:left="0" w:right="0"/>
              <w:rPr>
                <w:rFonts w:hint="eastAsia"/>
                <w:szCs w:val="24"/>
              </w:rPr>
            </w:pPr>
          </w:p>
        </w:tc>
        <w:tc>
          <w:tcPr>
            <w:tcW w:w="6095" w:type="dxa"/>
          </w:tcPr>
          <w:p>
            <w:pPr>
              <w:keepNext w:val="0"/>
              <w:keepLines w:val="0"/>
              <w:suppressLineNumbers w:val="0"/>
              <w:spacing w:before="0" w:beforeAutospacing="0" w:after="0" w:afterAutospacing="0"/>
              <w:ind w:left="0" w:right="0"/>
              <w:rPr>
                <w:rFonts w:hint="eastAsia"/>
                <w:szCs w:val="24"/>
              </w:rPr>
            </w:pPr>
            <w:r>
              <w:rPr>
                <w:rFonts w:hint="eastAsia"/>
                <w:szCs w:val="24"/>
              </w:rPr>
              <w:t>P_河南卫生信息数据集（手术输血耗材）</w:t>
            </w:r>
          </w:p>
        </w:tc>
      </w:tr>
    </w:tbl>
    <w:p>
      <w:pPr>
        <w:ind w:firstLine="420"/>
      </w:pPr>
    </w:p>
    <w:p>
      <w:pPr>
        <w:pStyle w:val="2"/>
        <w:numPr>
          <w:ilvl w:val="0"/>
          <w:numId w:val="1"/>
        </w:numPr>
        <w:spacing w:before="0" w:after="0" w:line="480" w:lineRule="auto"/>
        <w:jc w:val="left"/>
      </w:pPr>
      <w:r>
        <w:rPr>
          <w:rFonts w:hint="eastAsia"/>
        </w:rPr>
        <w:t>值域字典列表</w:t>
      </w:r>
    </w:p>
    <w:p>
      <w:pPr>
        <w:pStyle w:val="3"/>
        <w:numPr>
          <w:ilvl w:val="0"/>
          <w:numId w:val="3"/>
        </w:numPr>
        <w:spacing w:before="0" w:after="0" w:line="360" w:lineRule="auto"/>
        <w:jc w:val="left"/>
      </w:pPr>
      <w:r>
        <w:t>HACT00.00.001  国籍代码表</w:t>
      </w:r>
    </w:p>
    <w:p>
      <w:pPr>
        <w:jc w:val="left"/>
        <w:rPr>
          <w:b/>
        </w:rPr>
      </w:pPr>
      <w:r>
        <w:rPr>
          <w:rFonts w:hint="eastAsia"/>
          <w:b/>
        </w:rPr>
        <w:t>引用标准文号：</w:t>
      </w:r>
      <w:r>
        <w:rPr>
          <w:b/>
        </w:rPr>
        <w:t>GB/T 2659-2000，</w:t>
      </w:r>
      <w:r>
        <w:rPr>
          <w:rFonts w:hint="eastAsia"/>
          <w:b/>
        </w:rPr>
        <w:t>世界各国和地区名称代码</w:t>
      </w:r>
    </w:p>
    <w:p>
      <w:pPr>
        <w:jc w:val="left"/>
      </w:pPr>
      <w:r>
        <w:rPr>
          <w:rFonts w:hint="eastAsia"/>
        </w:rPr>
        <w:t>说明：采用</w:t>
      </w:r>
      <w:r>
        <w:t>“两字符拉丁字母代码”值域。</w:t>
      </w:r>
    </w:p>
    <w:tbl>
      <w:tblPr>
        <w:tblStyle w:val="10"/>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4844"/>
        <w:gridCol w:w="3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4844"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3584"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阿富汗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阿尔巴尼亚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DZ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阿尔及利亚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美属萨摩亚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安道尔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安哥拉</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安圭拉</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AQ</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南极洲</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安提瓜和巴布达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阿根廷</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亚美尼亚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阿鲁巴</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澳大利亚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奥地利</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阿塞拜疆</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巴哈马</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孟加拉国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BB</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巴巴多斯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白俄罗斯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比利时</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伯利兹</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BJ</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贝宁</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百慕大</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不丹</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玻利维亚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波黑</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博茨瓦纳</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BV</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布维岛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巴西</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英属印度洋领土</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文莱</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保加利亚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布基纳法索</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BI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布隆迪</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柬埔寨</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喀麦隆</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加拿大</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CV</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佛得角</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开曼群岛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中非</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乍得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智利</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中国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HK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中国香港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中国澳门</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中国台湾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圣诞岛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科科斯</w:t>
            </w:r>
            <w:r>
              <w:rPr>
                <w:rFonts w:hint="eastAsia" w:ascii="等线" w:hAnsi="等线" w:cs="Times New Roman"/>
                <w:sz w:val="21"/>
                <w:szCs w:val="21"/>
                <w:lang w:bidi="ar"/>
              </w:rPr>
              <w:t>(</w:t>
            </w:r>
            <w:r>
              <w:rPr>
                <w:rFonts w:hint="eastAsia" w:ascii="等线" w:hAnsi="等线" w:cs="宋体"/>
                <w:sz w:val="21"/>
                <w:szCs w:val="21"/>
                <w:lang w:bidi="ar"/>
              </w:rPr>
              <w:t>基林</w:t>
            </w:r>
            <w:r>
              <w:rPr>
                <w:rFonts w:hint="eastAsia" w:ascii="等线" w:hAnsi="等线" w:cs="Times New Roman"/>
                <w:sz w:val="21"/>
                <w:szCs w:val="21"/>
                <w:lang w:bidi="ar"/>
              </w:rPr>
              <w:t>)</w:t>
            </w:r>
            <w:r>
              <w:rPr>
                <w:rFonts w:hint="eastAsia" w:ascii="等线" w:hAnsi="等线" w:cs="宋体"/>
                <w:sz w:val="21"/>
                <w:szCs w:val="21"/>
                <w:lang w:bidi="ar"/>
              </w:rPr>
              <w:t>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哥伦比亚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科摩罗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刚果（布）</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刚果（金）</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库克群岛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哥斯达黎加</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科特迪瓦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HR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克罗地亚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古巴</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塞浦路斯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捷克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DK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丹麦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DJ</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吉布提</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DM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多米尼克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DO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多米尼加共和国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TP</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东帝汶</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厄瓜多尔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埃及</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SV</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萨尔瓦多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GQ</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赤道几内亚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厄立特里亚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爱沙尼亚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埃塞俄比亚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FK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福克兰群岛</w:t>
            </w:r>
            <w:r>
              <w:rPr>
                <w:rFonts w:hint="eastAsia" w:ascii="等线" w:hAnsi="等线" w:cs="Times New Roman"/>
                <w:sz w:val="21"/>
                <w:szCs w:val="21"/>
                <w:lang w:bidi="ar"/>
              </w:rPr>
              <w:t>(</w:t>
            </w:r>
            <w:r>
              <w:rPr>
                <w:rFonts w:hint="eastAsia" w:ascii="等线" w:hAnsi="等线" w:cs="宋体"/>
                <w:sz w:val="21"/>
                <w:szCs w:val="21"/>
                <w:lang w:bidi="ar"/>
              </w:rPr>
              <w:t>马尔维纳斯</w:t>
            </w:r>
            <w:r>
              <w:rPr>
                <w:rFonts w:hint="eastAsia" w:ascii="等线" w:hAnsi="等线" w:cs="Times New Roman"/>
                <w:sz w:val="21"/>
                <w:szCs w:val="21"/>
                <w:lang w:bidi="ar"/>
              </w:rPr>
              <w:t>)</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FO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法罗群岛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FJ</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斐济</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FI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芬兰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FR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法国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法属圭亚那</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法属波利尼西亚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法属南部领土</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加蓬</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冈比亚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格鲁吉亚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DE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德国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加纳</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直布罗陀</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希腊</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格陵兰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格林纳达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GP</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瓜德罗普</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关岛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危地马拉</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几内亚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几内亚比绍</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圭亚那</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HT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海地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HM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赫德岛和麦克唐纳岛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HN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洪都拉斯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HU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匈牙利</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冰岛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印度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印度尼西亚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伊朗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IQ</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伊拉克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爱尔兰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以色列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IT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意大利</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JM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牙买加</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JP</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日本</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JO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约旦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哈萨克斯坦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肯尼亚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基里巴斯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KP</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朝鲜</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韩国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科威特</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吉尔吉斯斯坦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老挝</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LV</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拉脱维亚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LB</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黎巴嫩</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莱索托</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利比里亚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利比亚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列支敦士登</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立陶宛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卢森堡</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前南马其顿</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马达加斯加</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马拉维</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马来西亚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MV</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马尔代夫</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马里</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马耳他</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马绍尔群岛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MQ</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马提尼克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毛里塔尼亚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毛里求斯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YT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马约特</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MX</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墨西哥</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FM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密克罗尼西亚联邦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摩尔多瓦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摩纳哥</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蒙古</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蒙特塞拉特</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摩洛哥</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莫桑比克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缅甸</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纳米比亚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瑙鲁</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NP</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尼泊尔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荷兰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荷属安的列斯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新喀里多尼亚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新西兰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尼加拉瓜</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尼日尔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尼日利亚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纽埃</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诺福克岛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MP</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北马里亚纳</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NO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挪威</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OM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阿曼</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巴基斯坦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帕劳</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巴勒斯坦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巴拿马</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巴布亚新几内亚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巴拉圭</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秘鲁</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菲律宾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皮特凯恩群岛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波兰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葡萄牙</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波多黎各</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QA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卡塔尔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RE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留尼汪</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RO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罗马尼亚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RU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俄罗斯联邦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RW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卢旺达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圣赫勒拿</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KN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圣基茨和尼维斯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圣卢西亚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PM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圣皮埃尔和密克隆</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圣文森特和格林纳丁斯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WS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萨摩亚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圣马力诺</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圣多美和普林西比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沙特阿拉伯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塞内加尔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塞舌尔</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SL</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塞拉利昂</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新加坡</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斯洛伐克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斯洛文尼亚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SB</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所罗门群岛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索马里</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ZA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南非</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南乔治亚岛和南桑德韦奇岛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西班牙</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LK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斯里兰卡</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SD</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苏丹</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苏里南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SJ</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斯瓦尔巴群岛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斯威士兰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瑞典</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CH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瑞士</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SY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叙利亚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TJ</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塔吉克斯坦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坦桑尼亚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泰国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多哥</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TK</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托克劳</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TO</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汤加</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TT</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特立尼达和多巴哥</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突尼斯</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TR</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土耳其</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土库曼斯坦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TC</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特克斯科斯群岛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TV</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图瓦卢</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UG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乌干达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UA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乌克兰</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AE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阿联酋</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GB</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英国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US</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美国</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UM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美国本土外小岛屿</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UY</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乌拉圭</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UZ</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乌兹别克斯坦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瓦努阿图</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VA</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梵蒂冈</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委内瑞拉</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VN</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越南</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VG</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英属维尔京群岛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VI</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美属维尔京群岛</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WF</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瓦利斯和富图纳</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EH</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西撒哈拉</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YE</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也门</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YU</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南斯拉夫</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ZM</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赞比亚</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ZW</w:t>
            </w:r>
          </w:p>
        </w:tc>
        <w:tc>
          <w:tcPr>
            <w:tcW w:w="4844"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津巴布韦</w:t>
            </w:r>
          </w:p>
        </w:tc>
        <w:tc>
          <w:tcPr>
            <w:tcW w:w="358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 xml:space="preserve">HACT00.00.002 </w:t>
      </w:r>
      <w:r>
        <w:rPr>
          <w:rFonts w:hint="eastAsia"/>
        </w:rPr>
        <w:t>民族代码</w:t>
      </w:r>
      <w:r>
        <w:t>表</w:t>
      </w:r>
    </w:p>
    <w:p>
      <w:pPr>
        <w:jc w:val="left"/>
        <w:rPr>
          <w:b/>
        </w:rPr>
      </w:pPr>
      <w:r>
        <w:rPr>
          <w:rFonts w:hint="eastAsia"/>
          <w:b/>
        </w:rPr>
        <w:t>引用标准文号：</w:t>
      </w:r>
      <w:r>
        <w:rPr>
          <w:b/>
        </w:rPr>
        <w:t>GB 3304-1991,中国各民族名称的罗马字母拼写法和代码</w:t>
      </w:r>
    </w:p>
    <w:p>
      <w:pPr>
        <w:jc w:val="left"/>
      </w:pPr>
      <w:r>
        <w:rPr>
          <w:rFonts w:hint="eastAsia"/>
        </w:rPr>
        <w:t>说明：</w:t>
      </w:r>
      <w:r>
        <w:t>采用2位数字编码，增加98"外国血统",99"其他民族",区分</w:t>
      </w:r>
      <w:r>
        <w:rPr>
          <w:rFonts w:hint="eastAsia" w:cs="Times New Roman"/>
          <w:lang w:bidi="ar"/>
        </w:rPr>
        <w:t>外国血统与其他民族</w:t>
      </w:r>
      <w: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汉族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蒙古族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回族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藏族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维吾尔族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苗族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彝族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壮族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布依族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朝鲜族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满族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侗族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瑶族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白族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土家族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哈尼族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哈萨克族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傣族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黎族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傈僳族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佤族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畲族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高山族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拉祜族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东乡族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纳西族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景颇族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柯尔克孜族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土族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达斡尔族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仫佬族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羌族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布朗族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撒拉族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毛南族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仡佬族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锡伯族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阿昌族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普米族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塔吉克族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怒族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乌孜别克族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俄罗斯族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鄂温克族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德昂族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保安族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裕固族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京族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塔塔尔族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独龙族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鄂伦春族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赫哲族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门巴族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珞巴族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基诺族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外国血统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其它民族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bl>
    <w:p>
      <w:pPr>
        <w:jc w:val="left"/>
      </w:pPr>
    </w:p>
    <w:p>
      <w:pPr>
        <w:pStyle w:val="3"/>
        <w:numPr>
          <w:ilvl w:val="0"/>
          <w:numId w:val="3"/>
        </w:numPr>
        <w:spacing w:before="0" w:after="0" w:line="360" w:lineRule="auto"/>
        <w:jc w:val="left"/>
      </w:pPr>
      <w:r>
        <w:t>HACT00.00.003  性别代码表</w:t>
      </w:r>
    </w:p>
    <w:p>
      <w:pPr>
        <w:jc w:val="left"/>
        <w:rPr>
          <w:b/>
        </w:rPr>
      </w:pPr>
      <w:r>
        <w:rPr>
          <w:rFonts w:hint="eastAsia"/>
          <w:b/>
        </w:rPr>
        <w:t>引用标准文号：</w:t>
      </w:r>
      <w:r>
        <w:rPr>
          <w:b/>
        </w:rPr>
        <w:t>GB/T 2261.1-2003，个人基本信息分类与代码 第1部分：人的性别代码</w:t>
      </w:r>
    </w:p>
    <w:p>
      <w:pPr>
        <w:jc w:val="left"/>
      </w:pPr>
      <w:r>
        <w:rPr>
          <w:rFonts w:hint="eastAsia"/>
        </w:rPr>
        <w:t>说明：</w:t>
      </w:r>
      <w: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未知的性别</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男性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未说明的性别</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HACT00.00.004  婚姻状况代码表</w:t>
      </w:r>
    </w:p>
    <w:p>
      <w:pPr>
        <w:jc w:val="left"/>
        <w:rPr>
          <w:b/>
        </w:rPr>
      </w:pPr>
      <w:r>
        <w:rPr>
          <w:rFonts w:hint="eastAsia"/>
          <w:b/>
        </w:rPr>
        <w:t>引用标准文号：</w:t>
      </w:r>
      <w:r>
        <w:rPr>
          <w:b/>
        </w:rPr>
        <w:t>GB/T 2261.2-2003，个人基本信息分类与代码 第2部分：婚姻状况代码</w:t>
      </w:r>
    </w:p>
    <w:p>
      <w:pPr>
        <w:jc w:val="left"/>
      </w:pPr>
      <w:r>
        <w:rPr>
          <w:rFonts w:hint="eastAsia"/>
        </w:rPr>
        <w:t>说明：代码</w:t>
      </w:r>
      <w:r>
        <w:t>90值含义由“未说明的婚姻状况”改为“其他”。</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已婚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初婚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再婚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复婚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丧偶</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离婚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原名称：未说明的婚姻状况</w:t>
            </w:r>
          </w:p>
        </w:tc>
      </w:tr>
    </w:tbl>
    <w:p>
      <w:pPr>
        <w:jc w:val="left"/>
      </w:pPr>
    </w:p>
    <w:p>
      <w:pPr>
        <w:pStyle w:val="3"/>
        <w:numPr>
          <w:ilvl w:val="0"/>
          <w:numId w:val="3"/>
        </w:numPr>
        <w:spacing w:before="0" w:after="0" w:line="360" w:lineRule="auto"/>
        <w:jc w:val="left"/>
      </w:pPr>
      <w:r>
        <w:t>HACT00.00.006  从业状况(个人身份)代码表</w:t>
      </w:r>
    </w:p>
    <w:p>
      <w:pPr>
        <w:jc w:val="left"/>
        <w:rPr>
          <w:b/>
        </w:rPr>
      </w:pPr>
      <w:r>
        <w:rPr>
          <w:rFonts w:hint="eastAsia"/>
          <w:b/>
        </w:rPr>
        <w:t>引用标准文号：</w:t>
      </w:r>
      <w:r>
        <w:rPr>
          <w:b/>
        </w:rPr>
        <w:t>GB/T 2261.4-2003，个人基本信息分类与代码 第4部分：从业状况(个人身份)代码</w:t>
      </w:r>
    </w:p>
    <w:p>
      <w:pPr>
        <w:jc w:val="left"/>
      </w:pPr>
      <w:r>
        <w:rPr>
          <w:rFonts w:hint="eastAsia"/>
        </w:rPr>
        <w:t>说明：</w:t>
      </w:r>
      <w: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国家公务员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包括参照、依照公务员管理的人员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专业技术人员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企业管理人员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工人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学生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现役军人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自由职业者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个体经营者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无业人员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退(离)休人员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HACT00.00.007  职业分类与代码表</w:t>
      </w:r>
    </w:p>
    <w:p>
      <w:pPr>
        <w:jc w:val="left"/>
        <w:rPr>
          <w:b/>
        </w:rPr>
      </w:pPr>
      <w:r>
        <w:rPr>
          <w:rFonts w:hint="eastAsia"/>
          <w:b/>
        </w:rPr>
        <w:t>引用标准文号：</w:t>
      </w:r>
      <w:r>
        <w:rPr>
          <w:b/>
        </w:rPr>
        <w:t>GB/T 6565-2015，职业分类与代码</w:t>
      </w:r>
    </w:p>
    <w:p>
      <w:pPr>
        <w:jc w:val="left"/>
      </w:pPr>
      <w:r>
        <w:rPr>
          <w:rFonts w:hint="eastAsia"/>
        </w:rPr>
        <w:t>说明：只用到国家职业分类中的</w:t>
      </w:r>
      <w:r>
        <w:rPr>
          <w:rFonts w:hint="cs"/>
        </w:rPr>
        <w:t>“</w:t>
      </w:r>
      <w:r>
        <w:rPr>
          <w:rFonts w:hint="eastAsia"/>
        </w:rPr>
        <w:t>中类</w:t>
      </w:r>
      <w:r>
        <w:rPr>
          <w:rFonts w:hint="cs"/>
        </w:rPr>
        <w:t>”</w:t>
      </w:r>
      <w:r>
        <w:rPr>
          <w:rFonts w:hint="eastAsia"/>
        </w:rPr>
        <w:t>，如果有些医疗卫生机构只按</w:t>
      </w:r>
      <w:r>
        <w:t>8</w:t>
      </w:r>
      <w:r>
        <w:rPr>
          <w:rFonts w:hint="eastAsia"/>
        </w:rPr>
        <w:t>个职业大类（编码</w:t>
      </w:r>
      <w:r>
        <w:t>1</w:t>
      </w:r>
      <w:r>
        <w:rPr>
          <w:rFonts w:hint="eastAsia"/>
        </w:rPr>
        <w:t>至</w:t>
      </w:r>
      <w:r>
        <w:t>8</w:t>
      </w:r>
      <w:r>
        <w:rPr>
          <w:rFonts w:hint="eastAsia"/>
        </w:rPr>
        <w:t>）登记了职业，上传数据时需要在编码后补上</w:t>
      </w:r>
      <w:r>
        <w:rPr>
          <w:rFonts w:hint="cs"/>
        </w:rPr>
        <w:t>“</w:t>
      </w:r>
      <w:r>
        <w:t>00</w:t>
      </w:r>
      <w:r>
        <w:rPr>
          <w:rFonts w:hint="cs"/>
        </w:rPr>
        <w:t>”</w:t>
      </w:r>
      <w:r>
        <w:rPr>
          <w:rFonts w:hint="eastAsia"/>
        </w:rPr>
        <w:t>，变成</w:t>
      </w:r>
      <w:r>
        <w:rPr>
          <w:rFonts w:hint="cs"/>
        </w:rPr>
        <w:t>“</w:t>
      </w:r>
      <w:r>
        <w:t>100</w:t>
      </w:r>
      <w:r>
        <w:rPr>
          <w:rFonts w:hint="eastAsia"/>
        </w:rPr>
        <w:t>至</w:t>
      </w:r>
      <w:r>
        <w:t>800</w:t>
      </w:r>
      <w:r>
        <w:rPr>
          <w:rFonts w:hint="cs"/>
        </w:rPr>
        <w:t>”</w:t>
      </w:r>
      <w:r>
        <w:rPr>
          <w:rFonts w:hint="eastAsia"/>
        </w:rPr>
        <w:t>。增加了</w:t>
      </w:r>
      <w:r>
        <w:rPr>
          <w:rFonts w:hint="cs"/>
        </w:rPr>
        <w:t>“</w:t>
      </w:r>
      <w:r>
        <w:t>999</w:t>
      </w:r>
      <w:r>
        <w:rPr>
          <w:rFonts w:hint="eastAsia"/>
        </w:rPr>
        <w:t>、不详</w:t>
      </w:r>
      <w:r>
        <w:rPr>
          <w:rFonts w:hint="cs"/>
        </w:rPr>
        <w:t>”</w:t>
      </w:r>
      <w:r>
        <w:rPr>
          <w:rFonts w:hint="eastAsia"/>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746"/>
        <w:gridCol w:w="2682"/>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5746"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2682"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党的机关、国家机关、群众团体和社会组织、企事业单位负责人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中国共产党机关负责人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国家机关负责人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民主党派和工商联负责人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人民团体和群众团体、社会组织及其他成员组织负责人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基层群众自治组织负责人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106</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企事业单位负责人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专业技术人员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科学研究人员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工程技术人员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农业技术人员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飞机和船舶技术人员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卫生专业技术人员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206</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经济和金融专业人员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207</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法律、社会和宗教专业人员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208</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教学人员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文学艺术、体育专业人员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新闻出版、文化专业人员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299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其他专业技术人员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办事人员和有关人员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办事人员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安全和消防人员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399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其他办事人员和有关人员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社会生产服务和生活服务人员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批发与零售服务人员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交通运输、仓储和邮政业服务人员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住宿和餐饮服务人员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信息运输、软件和信息技术服务人员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金融服务人员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406</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房地产服务人员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407</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租赁和商务服务人员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408</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技术辅助服务人员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水利、环境和公共设施管理服务人员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居民服务人员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电力、燃气及水供应服务人员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修理及制作服务人员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文化、体育及娱乐服务人员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健康服务人员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499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其他社会生产和生活服务人员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农、林、牧、渔业生产及辅助人员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农业生产人员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林业生产人员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畜牧业生产人员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渔业生产人员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农林牧渔生产辅助人员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599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其他农、林、牧、渔、水利业生产人员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生产制造及有关人员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农副产品加工人员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食品、饮料生产加工人员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烟草及其制品加工人员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纺织、针织、印染人员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纺织品、服装和皮革、毛皮制品加工制作人员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606</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木材加工、家具与木制品制作人员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607</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纸及纸制品生产加工人员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608</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印刷和记录媒介复制人员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文教、工美、体育和娱乐用品制作人员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石油加工和炼焦、煤化工制作人员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化学原料和化学制品制造人员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医药制造人员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化学纤维制造人员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橡胶和塑料制品制造人员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非金属矿物制品制造人员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616</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采矿人员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617</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金属冶炼和压延加工人员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618</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机械制造基础加工人员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金属制品制造人员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通用设备制造人员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专用设备制造人员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622</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汽车制造人员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623</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铁路、船舶、航空设备制造人员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624</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电气机械和器材制造人员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625</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计算机、通信和其他电子设备制造人员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626</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仪器仪表制造人员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627</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废弃资源综合利用人员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628</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电力、热力、气体、水生产和输配人员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建筑施工人员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630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运输设备和通用工程机械操作人员及有关人员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631</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生产辅助人员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699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其他生产制造及有关人员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军人</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800</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不便分类的其他从业人员</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999</w:t>
            </w:r>
          </w:p>
        </w:tc>
        <w:tc>
          <w:tcPr>
            <w:tcW w:w="574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不详</w:t>
            </w:r>
          </w:p>
        </w:tc>
        <w:tc>
          <w:tcPr>
            <w:tcW w:w="268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bl>
    <w:p>
      <w:pPr>
        <w:jc w:val="left"/>
      </w:pPr>
    </w:p>
    <w:p>
      <w:pPr>
        <w:pStyle w:val="3"/>
        <w:numPr>
          <w:ilvl w:val="0"/>
          <w:numId w:val="3"/>
        </w:numPr>
        <w:spacing w:before="0" w:after="0" w:line="360" w:lineRule="auto"/>
        <w:jc w:val="left"/>
      </w:pPr>
      <w:r>
        <w:t>HACT00.00.009  家庭关系代码表</w:t>
      </w:r>
    </w:p>
    <w:p>
      <w:pPr>
        <w:jc w:val="left"/>
        <w:rPr>
          <w:b/>
        </w:rPr>
      </w:pPr>
      <w:r>
        <w:rPr>
          <w:rFonts w:hint="eastAsia"/>
          <w:b/>
        </w:rPr>
        <w:t>引用标准文号：</w:t>
      </w:r>
      <w:r>
        <w:rPr>
          <w:b/>
        </w:rPr>
        <w:t>GB/T 4761-2008，家庭关系代码</w:t>
      </w:r>
    </w:p>
    <w:p>
      <w:pPr>
        <w:jc w:val="left"/>
        <w:rPr>
          <w:b/>
        </w:rPr>
      </w:pPr>
      <w:r>
        <w:rPr>
          <w:b/>
        </w:rPr>
        <w:t>说明：值域编码采用"二位数字代码"。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4329"/>
        <w:gridCol w:w="4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432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41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本人</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户主</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配偶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夫</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妻</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独生子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长子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次子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三子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四子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五子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养子或继子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女婿</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其他儿子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独生女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长女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次女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三女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四女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五女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养女或继女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其他女儿</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孙子、孙女或外孙子、外孙女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孙子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孙女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外孙子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外孙女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孙媳妇或外孙媳妇</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孙女婿或外孙女婿</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曾孙子或曾外孙子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曾孙女或曾外孙女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其他孙子、孙女或外孙子、外孙女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父母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父亲</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母亲</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公公</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婆婆</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岳父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岳母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继父或养父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继母或养母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其他父母关系</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祖父母或外祖父母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祖父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祖母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外祖父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外祖母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配偶的祖父母或外祖父母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曾祖父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曾祖母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配偶的曾祖父母或外曾祖父母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其他祖父母或外祖父母关系</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兄弟姐妹</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兄</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嫂</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弟</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弟媳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姐姐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姐夫</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妹妹</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妹夫</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其他兄弟姐妹</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伯父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伯母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叔父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婶母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舅父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舅母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姨父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88</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姨母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姑父</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姑母</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91</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堂兄弟、堂姐妹</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92</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表兄弟、表姐妹</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93</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侄子</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94</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侄女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95</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外甥</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96</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外甥女</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97</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其他亲属</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432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非亲属</w:t>
            </w:r>
          </w:p>
        </w:tc>
        <w:tc>
          <w:tcPr>
            <w:tcW w:w="41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HACT00.00.010  学历代码表</w:t>
      </w:r>
    </w:p>
    <w:p>
      <w:pPr>
        <w:jc w:val="left"/>
        <w:rPr>
          <w:b/>
        </w:rPr>
      </w:pPr>
      <w:r>
        <w:rPr>
          <w:rFonts w:hint="eastAsia"/>
          <w:b/>
        </w:rPr>
        <w:t>引用标准文号：</w:t>
      </w:r>
      <w:r>
        <w:rPr>
          <w:b/>
        </w:rPr>
        <w:t>GB/T 4658-2006 学历代码（替代原GB/T 4658-1984 文化程度代码 ）</w:t>
      </w:r>
    </w:p>
    <w:p>
      <w:pPr>
        <w:jc w:val="left"/>
      </w:pPr>
      <w:r>
        <w:rPr>
          <w:rFonts w:hint="eastAsia"/>
        </w:rPr>
        <w:t>说明：</w:t>
      </w:r>
      <w:r>
        <w:rPr>
          <w:b/>
          <w:bCs/>
          <w:i/>
          <w:iCs/>
          <w:color w:val="417FF9"/>
        </w:rPr>
        <w:t>无</w:t>
      </w: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3120"/>
        <w:gridCol w:w="4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F2F2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ascii="等线" w:hAnsi="等线" w:cs="宋体"/>
                <w:b/>
                <w:sz w:val="21"/>
                <w:szCs w:val="21"/>
                <w:lang w:bidi="ar"/>
              </w:rPr>
              <w:t>值</w:t>
            </w:r>
          </w:p>
        </w:tc>
        <w:tc>
          <w:tcPr>
            <w:tcW w:w="3120" w:type="dxa"/>
            <w:tcBorders>
              <w:top w:val="single" w:color="auto" w:sz="4" w:space="0"/>
              <w:left w:val="single" w:color="auto" w:sz="4" w:space="0"/>
              <w:bottom w:val="single" w:color="auto" w:sz="4" w:space="0"/>
              <w:right w:val="single" w:color="auto" w:sz="4" w:space="0"/>
            </w:tcBorders>
            <w:shd w:val="clear" w:color="auto" w:fill="F2F2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ascii="等线" w:hAnsi="等线" w:cs="宋体"/>
                <w:b/>
                <w:sz w:val="21"/>
                <w:szCs w:val="21"/>
                <w:lang w:bidi="ar"/>
              </w:rPr>
              <w:t>值含义</w:t>
            </w:r>
          </w:p>
        </w:tc>
        <w:tc>
          <w:tcPr>
            <w:tcW w:w="4895" w:type="dxa"/>
            <w:tcBorders>
              <w:top w:val="single" w:color="auto" w:sz="4" w:space="0"/>
              <w:left w:val="single" w:color="auto" w:sz="4" w:space="0"/>
              <w:bottom w:val="single" w:color="auto" w:sz="4" w:space="0"/>
              <w:right w:val="single" w:color="auto" w:sz="4" w:space="0"/>
            </w:tcBorders>
            <w:shd w:val="clear" w:color="auto" w:fill="F2F2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ascii="等线" w:hAnsi="等线" w:cs="宋体"/>
                <w:b/>
                <w:sz w:val="21"/>
                <w:szCs w:val="21"/>
                <w:lang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研究生教育</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博士研究生毕业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12</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博士研究生结业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博士研究生肄业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14</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硕士研究生毕业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15</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硕士研究生结业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16</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硕士研究生肄业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17</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研究生班毕业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研究生班：我国研究生教育中属于硕士生层次的一种非导师制的方式。其招生和入学条件和硕士生类似；学制两年或一年半。完成全部学习项目并考核合格者，发给研究生班毕业证书</w:t>
            </w:r>
            <w:r>
              <w:rPr>
                <w:rFonts w:hint="eastAsia" w:ascii="等线" w:hAnsi="等线" w:cs="Times New Roman"/>
                <w:sz w:val="21"/>
                <w:szCs w:val="21"/>
                <w:lang w:bidi="ar"/>
              </w:rPr>
              <w:t>(</w:t>
            </w:r>
            <w:r>
              <w:rPr>
                <w:rFonts w:hint="eastAsia" w:ascii="等线" w:hAnsi="等线" w:cs="宋体"/>
                <w:sz w:val="21"/>
                <w:szCs w:val="21"/>
                <w:lang w:bidi="ar"/>
              </w:rPr>
              <w:t>研究生课程班不在此列</w:t>
            </w:r>
            <w:r>
              <w:rPr>
                <w:rFonts w:hint="eastAsia" w:ascii="等线" w:hAnsi="等线" w:cs="Times New Roman"/>
                <w:sz w:val="21"/>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18</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研究生班结业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19</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研究生班肄业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20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大学本科</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21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大学本科毕业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22</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大学本科结业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23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大学本科肄业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28</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大学普通班毕业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是指</w:t>
            </w:r>
            <w:r>
              <w:rPr>
                <w:rFonts w:hint="eastAsia" w:ascii="等线" w:hAnsi="等线" w:cs="Times New Roman"/>
                <w:sz w:val="21"/>
                <w:szCs w:val="21"/>
                <w:lang w:bidi="ar"/>
              </w:rPr>
              <w:t>1970</w:t>
            </w:r>
            <w:r>
              <w:rPr>
                <w:rFonts w:hint="eastAsia" w:ascii="等线" w:hAnsi="等线" w:cs="宋体"/>
                <w:sz w:val="21"/>
                <w:szCs w:val="21"/>
                <w:lang w:bidi="ar"/>
              </w:rPr>
              <w:t>年指</w:t>
            </w:r>
            <w:r>
              <w:rPr>
                <w:rFonts w:hint="eastAsia" w:ascii="等线" w:hAnsi="等线" w:cs="Times New Roman"/>
                <w:sz w:val="21"/>
                <w:szCs w:val="21"/>
                <w:lang w:bidi="ar"/>
              </w:rPr>
              <w:t>1976</w:t>
            </w:r>
            <w:r>
              <w:rPr>
                <w:rFonts w:hint="eastAsia" w:ascii="等线" w:hAnsi="等线" w:cs="宋体"/>
                <w:sz w:val="21"/>
                <w:szCs w:val="21"/>
                <w:lang w:bidi="ar"/>
              </w:rPr>
              <w:t>年进入普通高校学习的毕业生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30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专科教育</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包括高等专科、高等职业教育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31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大学专科毕业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32</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大学专科结业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33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大学专科肄业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中等职业教育</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包括中等师范学校教育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中等专科毕业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42</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中等专科结业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中等专科肄业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44</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职业高中毕业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45</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职业高中结业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46</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职业高中肄业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47</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技工学校毕业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48</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技工学校结业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49</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技工学校肄业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60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普通高等中学教育</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61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普通高中毕业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62</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普通高中结业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63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普通高中肄业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70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初等中学教育</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71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初中毕业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73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初中肄业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80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小学教育</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81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小学毕业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83</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小学肄业</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Times New Roman"/>
                <w:sz w:val="21"/>
                <w:szCs w:val="21"/>
                <w:lang w:bidi="ar"/>
              </w:rPr>
              <w:t>90</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r>
              <w:rPr>
                <w:rFonts w:hint="eastAsia" w:ascii="等线" w:hAnsi="等线" w:cs="宋体"/>
                <w:sz w:val="21"/>
                <w:szCs w:val="21"/>
                <w:lang w:bidi="ar"/>
              </w:rPr>
              <w:t>其他</w:t>
            </w:r>
          </w:p>
        </w:tc>
        <w:tc>
          <w:tcPr>
            <w:tcW w:w="48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eastAsia"/>
                <w:sz w:val="21"/>
                <w:szCs w:val="21"/>
              </w:rPr>
            </w:pPr>
          </w:p>
        </w:tc>
      </w:tr>
    </w:tbl>
    <w:p>
      <w:pPr>
        <w:jc w:val="left"/>
      </w:pPr>
    </w:p>
    <w:p>
      <w:pPr>
        <w:pStyle w:val="3"/>
        <w:numPr>
          <w:ilvl w:val="0"/>
          <w:numId w:val="3"/>
        </w:numPr>
        <w:spacing w:before="0" w:after="0" w:line="360" w:lineRule="auto"/>
        <w:jc w:val="left"/>
      </w:pPr>
      <w:r>
        <w:t xml:space="preserve">HACT00.01.001 </w:t>
      </w:r>
      <w:r>
        <w:rPr>
          <w:color w:val="333333"/>
          <w:lang w:bidi="zh-CN"/>
        </w:rPr>
        <w:t>医疗卫生机构</w:t>
      </w:r>
      <w:r>
        <w:t>业务科室分类代码</w:t>
      </w:r>
      <w:r>
        <w:rPr>
          <w:rFonts w:hint="eastAsia"/>
        </w:rPr>
        <w:t>表</w:t>
      </w:r>
    </w:p>
    <w:p>
      <w:pPr>
        <w:jc w:val="left"/>
        <w:rPr>
          <w:rFonts w:cs="宋体"/>
          <w:szCs w:val="24"/>
        </w:rPr>
      </w:pPr>
      <w:r>
        <w:rPr>
          <w:rFonts w:hint="eastAsia"/>
          <w:b/>
        </w:rPr>
        <w:t>引用标准文号：</w:t>
      </w:r>
      <w:r>
        <w:rPr>
          <w:rFonts w:cs="宋体"/>
          <w:color w:val="333333"/>
          <w:szCs w:val="24"/>
        </w:rPr>
        <w:t xml:space="preserve">《国家卫生健康委关于印发全国卫生资源与医疗服务统计调查制度等八项统计调查制度的通知》（国卫规划函〔2021〕184号）,《第一部分 </w:t>
      </w:r>
      <w:r>
        <w:rPr>
          <w:rFonts w:hint="eastAsia" w:cs="宋体"/>
          <w:color w:val="333333"/>
          <w:szCs w:val="24"/>
          <w:lang w:bidi="zh-CN"/>
        </w:rPr>
        <w:t>全国卫生资源与医疗服务统计调查制度》</w:t>
      </w:r>
      <w:r>
        <w:rPr>
          <w:rFonts w:cs="宋体"/>
          <w:color w:val="333333"/>
          <w:szCs w:val="24"/>
          <w:lang w:bidi="zh-CN"/>
        </w:rPr>
        <w:t xml:space="preserve">"1.5.21 </w:t>
      </w:r>
      <w:r>
        <w:rPr>
          <w:rFonts w:hint="eastAsia" w:cs="宋体"/>
          <w:color w:val="333333"/>
          <w:szCs w:val="24"/>
          <w:lang w:bidi="zh-CN"/>
        </w:rPr>
        <w:t>医疗卫生机构业务科室分类与代码</w:t>
      </w:r>
      <w:r>
        <w:rPr>
          <w:rFonts w:cs="宋体"/>
          <w:color w:val="333333"/>
          <w:szCs w:val="24"/>
          <w:lang w:bidi="zh-CN"/>
        </w:rPr>
        <w:t>"</w:t>
      </w:r>
      <w:r>
        <w:rPr>
          <w:rFonts w:hint="eastAsia" w:cs="宋体"/>
          <w:color w:val="333333"/>
          <w:szCs w:val="24"/>
          <w:lang w:bidi="zh-CN"/>
        </w:rPr>
        <w:t>。</w:t>
      </w:r>
    </w:p>
    <w:p>
      <w:pPr>
        <w:jc w:val="left"/>
      </w:pPr>
      <w:r>
        <w:rPr>
          <w:rFonts w:hint="eastAsia"/>
        </w:rPr>
        <w:t>说明：前三位为大类，小数后二位亚类。在国家科室代码的基础上进行了扩展，主要用于专科细分。</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4187"/>
        <w:gridCol w:w="4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418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424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预防保健科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全科医疗科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呼吸内科专业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消化内科专业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心血管内科专业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血液内科专业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肾病学专业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A03.06.01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血液净化项目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内分泌专业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免疫学专业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变态反应专业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老年病专业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A03.99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普通外科专业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A04.01.01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肝脏移植项目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A04.01.02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胰腺移植项目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A04.01.03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小肠移植项目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A04.02.01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功能神经项目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创伤骨科项目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关节外科项目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脊柱外科项目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手外科项目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骨肿瘤科项目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足踝外科项目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A04.03.07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骨内科项目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泌尿外科专业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A04.04.01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肾脏移植项目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A04.04.02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男性生殖健康项目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胸外科专业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A04.05.01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肺脏移植项目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心脏大血管外科专业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A04.06.01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心脏移植项目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烧伤科专业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整形外科专业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A04.99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其他外科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妇产科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产科专业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计划生育专业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优生学专业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生殖医学专业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生殖健康与不孕症专业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A05.99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其他妇产科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妇女保健科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青春期保健专业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围产期保健专业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孕产群体保健项目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婚前保健项目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孕前保健项目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孕期保健项目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医学遗传与产前筛查项目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产后保健项目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A06.02.07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产前诊断项目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更年期保健专业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妇女心理卫生专业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妇女营养专业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妇女群体保健专业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乳腺保健专业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妇女健康教育专业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A06.99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其他妇保科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新生儿专业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小儿传染病专业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小儿消化专业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小儿呼吸专业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小儿心脏病专业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小儿肾病专业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小儿血液病专业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小儿神经疾病专业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小儿神经病学专业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小儿内分泌专业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小儿遗传病专业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A07.11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小儿免疫专业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A07.99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其他儿科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小儿外科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小儿普通外科专业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小儿骨科专业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小儿泌尿外科专业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小儿心胸外科专业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小儿胸心外科专业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小儿神经外科专业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新生儿外科专业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A08.99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其他小儿外科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儿童保健科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儿童生长发育专业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儿童营养专业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儿童心理卫生专业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儿童五官保健专业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A09.04.01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儿童眼保健项目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A09.04.02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儿童口腔保健项目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A09.04.03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儿童耳鼻喉保健项目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儿童群体保健专业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新生儿疾病筛查专业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高危儿管理专业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儿童健康教育专业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A09.99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其他儿童保健科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青光眼专业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白内障专业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角膜病专业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眼外伤专业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眼底病专业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A10.05.01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眼底外科项目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A10.05.02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眼底内科项目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眼肌屈光专业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小儿眼科专业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眼视光专业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眼眶病专业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眼肿瘤专业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A10.11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眼整形专业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A10.12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泪道专业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A10.99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其他眼科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耳鼻喉科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耳鼻咽喉科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A11.01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A11.02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鼻科专业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A11.03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咽喉科专业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A11.99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其他耳鼻喉科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新增-其他耳鼻咽喉科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牙体牙髓病专业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牙周病专业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口腔黏膜病专业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儿童口腔专业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口腔颌面外科专业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口腔修复专业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口腔正畸专业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口腔种植专业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口腔麻醉专业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口腔颌面医学影像专业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A12.11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口腔病理专业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A12.12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预防口腔专业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A12.14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口腔技工中心</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A12.99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其他口腔科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皮肤科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A13.01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皮肤病专业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A13.02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性传播疾病专业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A13.99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其他皮肤科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医疗美容科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A15.01.01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普通精神项目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A15.01.02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儿童精神项目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A15.01.03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老年精神项目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A15.01.04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抑郁障碍项目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精神卫生专业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药物依赖专业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社区防治专业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临床心理专业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A15.06.01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心理测评项目</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司法精神专业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精神重症监护专业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物质依赖专业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A15.99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其他精神科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传染科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肠道传染病专业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呼吸道传染病专业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肝炎专业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虫媒传染病专业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动物源性传染病专业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蠕虫病专业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艾滋病专业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A16.99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其它传染病科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结核病科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地方病科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A19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肿瘤科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急诊医学科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康复医学科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骨与关节康复专业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脊髓损伤康复专业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烧伤康复专业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老年康复专业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心肺康复专业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疼痛康复专业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听力视力康复专业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盆底康复专业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A21.99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其他康复科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职业病科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职业中毒专业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尘肺专业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放射病专业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物理因素损伤专业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职业健康监护专业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A23.99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其他职业病科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临终关怀科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特种医学与军事医学科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麻醉科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疼痛科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A28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重症医学科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医学检验科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临床体液、血液专业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临床微生物学专业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临床生化检验专业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临床免疫、血清学专业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临床细胞分子遗传学专业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A30.99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其他医学检验科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病理科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医学影像科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普通放射专业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X线诊断专业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CT诊断专业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磁共振成像诊断专业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核医学专业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超声诊断专业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心电诊断专业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脑电及脑血流图诊断专业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神经肌肉电图专业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介入放射学专业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放射治疗专业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A32.99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其他医学影像科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中医科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肺病科专业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脾胃病科专业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脑病科专业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心血管科专业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血液病科专业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内分泌科专业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风湿病科专业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A50.01.09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妇产科专业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皮肤科专业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耳鼻咽喉科专业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A50.09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肿瘤科专业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骨伤科专业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肛肠科专业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老年病科专业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针灸科专业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推拿科专业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康复医学专业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急诊科专业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预防保健科专业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A50.19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中医神志病专业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A50.20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治未病科专业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A50.21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中医学与军事医学科专业</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A50.99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其他中医科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民族医学科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A51.01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维吾尔医学</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A51.02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藏医学</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A51.03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蒙医学</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A51.04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彝医学</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A51.05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傣医学</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A51.99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其他民族医学科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A52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中西医结合科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A60</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感染性疾病科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A61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健康体检科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A62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A99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其他业务科室</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D71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护理部</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D72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药剂科(药房)</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D73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感染科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D74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输血科(血库)</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办公室</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人事科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财务科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设备科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信息科(中心)</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D86</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医政科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D87</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教育培训科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D88</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总务科</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D89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新农合管理办公室</w:t>
            </w:r>
          </w:p>
        </w:tc>
        <w:tc>
          <w:tcPr>
            <w:tcW w:w="424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 xml:space="preserve">HACT00.02.002 是否代码表 </w:t>
      </w:r>
    </w:p>
    <w:p>
      <w:pPr>
        <w:jc w:val="left"/>
      </w:pPr>
      <w:r>
        <w:t>引用标准文号：《全国医院数据上报管理方案 医疗数据字典(试行)》(国卫办规划函〔2019〕380号)，CT01.00.002</w:t>
      </w:r>
    </w:p>
    <w:p>
      <w:pPr>
        <w:jc w:val="left"/>
      </w:pPr>
      <w:r>
        <w:rPr>
          <w:rFonts w:hint="eastAsia"/>
        </w:rPr>
        <w:t>说明：</w:t>
      </w:r>
      <w: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w:t>
            </w:r>
            <w:r>
              <w:rPr>
                <w:rFonts w:hint="eastAsia"/>
              </w:rPr>
              <w:t>CT01.00.002代码为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HACT00.02.005 有无代码表</w:t>
      </w:r>
    </w:p>
    <w:p>
      <w:pPr>
        <w:jc w:val="left"/>
      </w:pPr>
      <w:r>
        <w:t>引用标准文号：无</w:t>
      </w:r>
    </w:p>
    <w:p>
      <w:pPr>
        <w:jc w:val="left"/>
      </w:pPr>
      <w:r>
        <w:rPr>
          <w:rFonts w:hint="eastAsia"/>
        </w:rPr>
        <w:t>说明：</w:t>
      </w:r>
      <w: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line="360" w:lineRule="auto"/>
        <w:jc w:val="left"/>
      </w:pPr>
      <w:r>
        <w:t>HACT00.02.007 检查检验结果代码表</w:t>
      </w:r>
    </w:p>
    <w:p>
      <w:pPr>
        <w:rPr>
          <w:rFonts w:hint="default"/>
          <w:woUserID w:val="4"/>
        </w:rPr>
      </w:pPr>
      <w:r>
        <w:t>引用标准文号：</w:t>
      </w:r>
      <w:r>
        <w:rPr>
          <w:woUserID w:val="4"/>
        </w:rPr>
        <w:t>《绩效考核与医疗质量管理附加指标项数据采集质量与接口标准》-(国卫办医函〔2020〕438号)。</w:t>
      </w:r>
    </w:p>
    <w:p>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HACT00.02.008 检查检验结果异常标识</w:t>
      </w:r>
    </w:p>
    <w:p>
      <w:r>
        <w:t>引用标准文号：《全国医院数据上报管理方案 医疗数据字典(试行)》(国卫办规划函〔2019〕380号)，CT01.00.006 检验/检查结果异常标识</w:t>
      </w:r>
    </w:p>
    <w:p>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未见异常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原值含义为： 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异常偏高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异常偏低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无法识别的异常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w:t>
      </w:r>
      <w:r>
        <w:rPr>
          <w:rFonts w:hint="eastAsia"/>
        </w:rPr>
        <w:t>0</w:t>
      </w:r>
      <w:r>
        <w:t>.0</w:t>
      </w:r>
      <w:r>
        <w:rPr>
          <w:rFonts w:hint="eastAsia"/>
        </w:rPr>
        <w:t>2</w:t>
      </w:r>
      <w:r>
        <w:t>.0</w:t>
      </w:r>
      <w:r>
        <w:rPr>
          <w:rFonts w:hint="eastAsia"/>
        </w:rPr>
        <w:t>09</w:t>
      </w:r>
      <w:r>
        <w:t xml:space="preserve"> 检查结果</w:t>
      </w:r>
      <w:r>
        <w:rPr>
          <w:rFonts w:hint="eastAsia"/>
        </w:rPr>
        <w:t>异常</w:t>
      </w:r>
      <w:r>
        <w:t>代码表</w:t>
      </w:r>
    </w:p>
    <w:p>
      <w:pPr>
        <w:numPr>
          <w:ilvl w:val="255"/>
          <w:numId w:val="0"/>
        </w:numPr>
        <w:jc w:val="left"/>
        <w:rPr>
          <w:b/>
        </w:rPr>
      </w:pPr>
      <w:r>
        <w:rPr>
          <w:rFonts w:hint="eastAsia"/>
          <w:b/>
        </w:rPr>
        <w:t>引用标准文号：</w:t>
      </w:r>
      <w:r>
        <w:rPr>
          <w:b/>
        </w:rPr>
        <w:t>无。</w:t>
      </w:r>
    </w:p>
    <w:p>
      <w:r>
        <w:rPr>
          <w:rFonts w:hint="eastAsia"/>
          <w:b/>
        </w:rPr>
        <w:t>说明：</w:t>
      </w:r>
      <w:r>
        <w:rPr>
          <w:rFonts w:hint="eastAsia" w:cs="Times New Roman"/>
          <w:color w:val="0D0D0D"/>
          <w:szCs w:val="24"/>
          <w:lang w:bidi="ar"/>
        </w:rPr>
        <w:t>无</w:t>
      </w:r>
      <w:r>
        <w:rPr>
          <w:b/>
          <w:szCs w:val="24"/>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未见异常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CV02.01.104 传染病患者归属代码表</w:t>
      </w:r>
    </w:p>
    <w:p>
      <w:pPr>
        <w:jc w:val="left"/>
        <w:rPr>
          <w:b/>
        </w:rPr>
      </w:pPr>
      <w:r>
        <w:rPr>
          <w:rFonts w:hint="eastAsia"/>
          <w:b/>
        </w:rPr>
        <w:t>引用标准文号：</w:t>
      </w:r>
      <w:r>
        <w:rPr>
          <w:b/>
        </w:rPr>
        <w:t>WS 364.3-2011，CV02.01.104 传染病患者归属代码表</w:t>
      </w:r>
    </w:p>
    <w:p>
      <w:pPr>
        <w:jc w:val="left"/>
        <w:rPr>
          <w:b/>
        </w:rPr>
      </w:pPr>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本县区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本市其他县区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本省其他地市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港澳台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CV02.10.005  既往常见疾病种类代码表</w:t>
      </w:r>
    </w:p>
    <w:p>
      <w:pPr>
        <w:numPr>
          <w:ilvl w:val="255"/>
          <w:numId w:val="0"/>
        </w:numPr>
        <w:jc w:val="left"/>
        <w:rPr>
          <w:b/>
        </w:rPr>
      </w:pPr>
      <w:r>
        <w:rPr>
          <w:rFonts w:hint="eastAsia"/>
          <w:b/>
        </w:rPr>
        <w:t>引用标准文号：</w:t>
      </w:r>
      <w:r>
        <w:rPr>
          <w:b/>
        </w:rPr>
        <w:t>WS 364.10-2011，CV02.10.005 既往常见疾病种类代码表。</w:t>
      </w:r>
    </w:p>
    <w:p>
      <w:pPr>
        <w:numPr>
          <w:ilvl w:val="255"/>
          <w:numId w:val="0"/>
        </w:numPr>
        <w:rPr>
          <w:rFonts w:cs="宋体"/>
          <w:sz w:val="21"/>
          <w:szCs w:val="21"/>
          <w:lang w:bidi="ar"/>
        </w:rPr>
      </w:pPr>
      <w:r>
        <w:rPr>
          <w:rFonts w:hint="eastAsia"/>
          <w:b/>
        </w:rPr>
        <w:t>说明：</w:t>
      </w:r>
      <w:r>
        <w:rPr>
          <w:b/>
        </w:rPr>
        <w:t>无。</w:t>
      </w:r>
    </w:p>
    <w:tbl>
      <w:tblPr>
        <w:tblStyle w:val="10"/>
        <w:tblW w:w="10100" w:type="dxa"/>
        <w:tblInd w:w="0" w:type="dxa"/>
        <w:tblLayout w:type="fixed"/>
        <w:tblCellMar>
          <w:top w:w="0" w:type="dxa"/>
          <w:left w:w="0" w:type="dxa"/>
          <w:bottom w:w="0" w:type="dxa"/>
          <w:right w:w="0" w:type="dxa"/>
        </w:tblCellMar>
      </w:tblPr>
      <w:tblGrid>
        <w:gridCol w:w="1160"/>
        <w:gridCol w:w="2500"/>
        <w:gridCol w:w="6440"/>
      </w:tblGrid>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值含义</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说明</w:t>
            </w: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无</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高血压</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糖尿病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4</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冠心病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5</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慢性阻塞性肺疾病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6</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恶性肿瘤</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7</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脑卒中</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8</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重性精神疾病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9</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结核病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10</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肝脏疾病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11</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先天畸形</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12</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职业病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13</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肾脏疾病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14</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贫血</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98</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其他法定传染病</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99</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其他</w:t>
            </w:r>
          </w:p>
        </w:tc>
        <w:tc>
          <w:tcPr>
            <w:tcW w:w="6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cs="宋体"/>
                <w:color w:val="000000"/>
                <w:sz w:val="22"/>
              </w:rPr>
            </w:pPr>
          </w:p>
        </w:tc>
      </w:tr>
    </w:tbl>
    <w:p>
      <w:pPr>
        <w:jc w:val="left"/>
      </w:pPr>
    </w:p>
    <w:p>
      <w:pPr>
        <w:pStyle w:val="3"/>
        <w:numPr>
          <w:ilvl w:val="0"/>
          <w:numId w:val="3"/>
        </w:numPr>
        <w:spacing w:before="0" w:after="0" w:line="360" w:lineRule="auto"/>
        <w:jc w:val="left"/>
      </w:pPr>
      <w:r>
        <w:t>CV03.00.101 吸烟状态代码表</w:t>
      </w:r>
    </w:p>
    <w:p>
      <w:pPr>
        <w:jc w:val="left"/>
        <w:rPr>
          <w:b/>
        </w:rPr>
      </w:pPr>
      <w:r>
        <w:rPr>
          <w:rFonts w:hint="eastAsia"/>
          <w:b/>
        </w:rPr>
        <w:t>引用标准文号：</w:t>
      </w:r>
      <w:r>
        <w:rPr>
          <w:b/>
        </w:rPr>
        <w:t>WS 364.5-2011,CV03.00.101吸烟状态代码表。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现在每天吸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现在吸,但不是每天吸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过去吸,现在不吸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从不吸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CV03.00.104 饮酒频率代码表</w:t>
      </w:r>
    </w:p>
    <w:p>
      <w:pPr>
        <w:jc w:val="left"/>
        <w:rPr>
          <w:b/>
        </w:rPr>
      </w:pPr>
      <w:r>
        <w:rPr>
          <w:rFonts w:hint="eastAsia"/>
          <w:b/>
        </w:rPr>
        <w:t>引用标准文号：</w:t>
      </w:r>
      <w:r>
        <w:rPr>
          <w:b/>
        </w:rPr>
        <w:t>WS 364.5-2011,CV03.00.104饮酒频率代码表。</w:t>
      </w:r>
    </w:p>
    <w:p>
      <w:pPr>
        <w:jc w:val="left"/>
        <w:rPr>
          <w:b/>
        </w:rPr>
      </w:pPr>
      <w:r>
        <w:rPr>
          <w:b/>
        </w:rPr>
        <w:t>说明：仅采用</w:t>
      </w:r>
      <w:r>
        <w:rPr>
          <w:rFonts w:hint="eastAsia" w:cs="Times New Roman"/>
          <w:bCs/>
          <w:szCs w:val="24"/>
          <w:lang w:bidi="ar"/>
        </w:rPr>
        <w:t>（CV03.00.104）中的大类</w:t>
      </w:r>
      <w:r>
        <w:rPr>
          <w:rFonts w:cs="Times New Roman"/>
          <w:bCs/>
          <w:szCs w:val="24"/>
          <w:lang w:bidi="ar"/>
        </w:rPr>
        <w:t>编码</w:t>
      </w:r>
      <w:r>
        <w:rPr>
          <w:rFonts w:hint="eastAsia" w:cs="Times New Roman"/>
          <w:bCs/>
          <w:szCs w:val="24"/>
          <w:lang w:bidi="ar"/>
        </w:rPr>
        <w:t>（同“国家基本公共卫生服务规范”一致）</w:t>
      </w:r>
      <w:r>
        <w:rPr>
          <w:rFonts w:cs="宋体"/>
          <w:szCs w:val="24"/>
        </w:rPr>
        <w:t xml:space="preserve"> </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从不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偶尔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经常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CV03.00.105 饮酒种类代码表</w:t>
      </w:r>
    </w:p>
    <w:p>
      <w:pPr>
        <w:jc w:val="left"/>
        <w:rPr>
          <w:b/>
        </w:rPr>
      </w:pPr>
      <w:r>
        <w:rPr>
          <w:rFonts w:hint="eastAsia"/>
          <w:b/>
        </w:rPr>
        <w:t>引用标准文号：</w:t>
      </w:r>
      <w:r>
        <w:rPr>
          <w:b/>
        </w:rPr>
        <w:t>WS 364.5-2011,CV03.00.105饮酒种类代码表。</w:t>
      </w:r>
    </w:p>
    <w:p>
      <w:pPr>
        <w:jc w:val="left"/>
        <w:rPr>
          <w:b/>
        </w:rPr>
      </w:pPr>
      <w:r>
        <w:rPr>
          <w:b/>
        </w:rPr>
        <w:t>说明：仅采用</w:t>
      </w:r>
      <w:r>
        <w:rPr>
          <w:rFonts w:hint="eastAsia" w:cs="Times New Roman"/>
          <w:bCs/>
          <w:szCs w:val="24"/>
          <w:lang w:bidi="ar"/>
        </w:rPr>
        <w:t>（CV03.00.105）中的大类（同“国家基本公共卫生服务规范”一致）</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白酒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啤酒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红酒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黄酒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CV03.00.111 身体活动频率代码表</w:t>
      </w:r>
    </w:p>
    <w:p>
      <w:pPr>
        <w:jc w:val="left"/>
        <w:rPr>
          <w:b/>
        </w:rPr>
      </w:pPr>
      <w:r>
        <w:rPr>
          <w:rFonts w:hint="eastAsia"/>
          <w:b/>
        </w:rPr>
        <w:t>引用标准文号：</w:t>
      </w:r>
      <w:r>
        <w:rPr>
          <w:b/>
        </w:rPr>
        <w:t>WS 364.5-2011,CV03.00.111身体活动频率代码表。</w:t>
      </w:r>
    </w:p>
    <w:p>
      <w:pPr>
        <w:jc w:val="left"/>
        <w:rPr>
          <w:b/>
        </w:rPr>
      </w:pPr>
      <w:r>
        <w:rPr>
          <w:b/>
        </w:rPr>
        <w:t>说明：仅采用</w:t>
      </w:r>
      <w:r>
        <w:rPr>
          <w:rFonts w:hint="eastAsia" w:cs="Times New Roman"/>
          <w:bCs/>
          <w:szCs w:val="24"/>
          <w:lang w:bidi="ar"/>
        </w:rPr>
        <w:t>（CV03.00.111）中的大类（同“国家基本公共卫生服务规范”一致）</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每周一次以上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偶尔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不运动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CV03.00.115 饮水类别代码表</w:t>
      </w:r>
    </w:p>
    <w:p>
      <w:pPr>
        <w:jc w:val="left"/>
        <w:rPr>
          <w:b/>
        </w:rPr>
      </w:pPr>
      <w:r>
        <w:rPr>
          <w:rFonts w:hint="eastAsia"/>
          <w:b/>
        </w:rPr>
        <w:t>引用标准文号：</w:t>
      </w:r>
      <w:r>
        <w:rPr>
          <w:b/>
        </w:rPr>
        <w:t>WS 364.5-2011,CV03.00.115饮水类别代码表。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自来水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经净化过滤的水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井水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河湖水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塘水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CV03.00.301 环境危险因素暴露类别代码表</w:t>
      </w:r>
    </w:p>
    <w:p>
      <w:pPr>
        <w:jc w:val="left"/>
        <w:rPr>
          <w:b/>
        </w:rPr>
      </w:pPr>
      <w:r>
        <w:rPr>
          <w:rFonts w:hint="eastAsia"/>
          <w:b/>
        </w:rPr>
        <w:t>引用标准文号：</w:t>
      </w:r>
      <w:r>
        <w:rPr>
          <w:b/>
        </w:rPr>
        <w:t>WS 364.5-2011,CV03.00.301环境危险因素暴露类别代码表。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化学品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毒物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射线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CV03.00.302 厨房排风设施类别代码表</w:t>
      </w:r>
    </w:p>
    <w:p>
      <w:pPr>
        <w:jc w:val="left"/>
        <w:rPr>
          <w:b/>
        </w:rPr>
      </w:pPr>
      <w:r>
        <w:rPr>
          <w:rFonts w:hint="eastAsia"/>
          <w:b/>
        </w:rPr>
        <w:t>引用标准文号：</w:t>
      </w:r>
      <w:r>
        <w:rPr>
          <w:b/>
        </w:rPr>
        <w:t>WS 364.5-2011,CV03.00.302厨房排风设施类别代码表。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油烟机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换气扇</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烟囱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CV03.00.303 燃料类型类别代码表</w:t>
      </w:r>
    </w:p>
    <w:p>
      <w:pPr>
        <w:jc w:val="left"/>
        <w:rPr>
          <w:b/>
        </w:rPr>
      </w:pPr>
      <w:r>
        <w:rPr>
          <w:rFonts w:hint="eastAsia"/>
          <w:b/>
        </w:rPr>
        <w:t>引用标准文号：</w:t>
      </w:r>
      <w:r>
        <w:rPr>
          <w:b/>
        </w:rPr>
        <w:t>WS 364.5-2011,CV03.00.303燃料类型类别代码表。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液化气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天然气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沼气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柴火</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CV03.00.304 厕所类别代码表</w:t>
      </w:r>
    </w:p>
    <w:p>
      <w:pPr>
        <w:jc w:val="left"/>
        <w:rPr>
          <w:b/>
        </w:rPr>
      </w:pPr>
      <w:r>
        <w:rPr>
          <w:rFonts w:hint="eastAsia"/>
          <w:b/>
        </w:rPr>
        <w:t>引用标准文号：</w:t>
      </w:r>
      <w:r>
        <w:rPr>
          <w:b/>
        </w:rPr>
        <w:t>WS 364.5-2011,CV03.00.304厕所类别代码表。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卫生厕所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一格或二格粪池式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马桶</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露天粪坑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简易棚厕</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CV04.01.003 伤害发生原因代码表</w:t>
      </w:r>
    </w:p>
    <w:p>
      <w:pPr>
        <w:jc w:val="left"/>
        <w:rPr>
          <w:b/>
        </w:rPr>
      </w:pPr>
      <w:r>
        <w:rPr>
          <w:rFonts w:hint="eastAsia"/>
          <w:b/>
        </w:rPr>
        <w:t>引用标准文号：</w:t>
      </w:r>
      <w:r>
        <w:rPr>
          <w:b/>
        </w:rPr>
        <w:t>WS 364.6-2011,CV04.01.003伤害发生原因代码表。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机动车祸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非机动车祸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性侵犯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跌倒/坠落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钝器伤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火器伤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刀/锐器伤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烧烫伤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窒息/悬吊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溺水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动物伤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CV04.01.004 伤害意图类别代码表</w:t>
      </w:r>
    </w:p>
    <w:p>
      <w:pPr>
        <w:jc w:val="left"/>
        <w:rPr>
          <w:b/>
        </w:rPr>
      </w:pPr>
      <w:r>
        <w:rPr>
          <w:rFonts w:hint="eastAsia"/>
          <w:b/>
        </w:rPr>
        <w:t>引用标准文号：</w:t>
      </w:r>
      <w:r>
        <w:rPr>
          <w:b/>
        </w:rPr>
        <w:t>WS 364.6-2011,CV04.01.004伤害意图类别代码表。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非故意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自残/自杀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故意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CV04.01.005 伤害发生地点代码表</w:t>
      </w:r>
    </w:p>
    <w:p>
      <w:pPr>
        <w:jc w:val="left"/>
        <w:rPr>
          <w:b/>
        </w:rPr>
      </w:pPr>
      <w:r>
        <w:rPr>
          <w:rFonts w:hint="eastAsia"/>
          <w:b/>
        </w:rPr>
        <w:t>引用标准文号：</w:t>
      </w:r>
      <w:r>
        <w:rPr>
          <w:b/>
        </w:rPr>
        <w:t>WS 364.6-2011,CV04.01.005伤害发生地点代码表。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家中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公共居住场所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学校与公共场所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体育和运动场所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公路/街道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贸易和服务场所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工业和建筑场所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农场/农田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CV04.01.006 伤害发生时活动类别代码表</w:t>
      </w:r>
    </w:p>
    <w:p>
      <w:pPr>
        <w:jc w:val="left"/>
      </w:pPr>
      <w:r>
        <w:rPr>
          <w:rFonts w:hint="eastAsia"/>
          <w:b/>
        </w:rPr>
        <w:t>引用标准文号：</w:t>
      </w:r>
      <w:r>
        <w:rPr>
          <w:b/>
        </w:rPr>
        <w:t xml:space="preserve">WS 364.6-2011，CV04.01.006 </w:t>
      </w:r>
      <w:r>
        <w:t>伤害发生时活动类别代码表。</w:t>
      </w:r>
    </w:p>
    <w:p>
      <w:pPr>
        <w:jc w:val="left"/>
      </w:pPr>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体育活动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休闲活动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有偿工作</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家务/学习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驾乘交通工具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CV04.01.013 老年人健康状态自我评估代码表</w:t>
      </w:r>
    </w:p>
    <w:p>
      <w:pPr>
        <w:jc w:val="left"/>
        <w:rPr>
          <w:b/>
        </w:rPr>
      </w:pPr>
      <w:r>
        <w:rPr>
          <w:rFonts w:hint="eastAsia"/>
          <w:b/>
        </w:rPr>
        <w:t>引用标准文号：</w:t>
      </w:r>
      <w:r>
        <w:rPr>
          <w:b/>
        </w:rPr>
        <w:t>WS 364.6-2011，CV04.01.013 老年人健康状态自我评估代码表。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满意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基本满意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说不清楚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不太满意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不满意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CV04.01.014 老年人生活自理能力自我评估代码表</w:t>
      </w:r>
    </w:p>
    <w:p>
      <w:pPr>
        <w:jc w:val="left"/>
        <w:rPr>
          <w:b/>
        </w:rPr>
      </w:pPr>
      <w:r>
        <w:rPr>
          <w:rFonts w:hint="eastAsia"/>
          <w:b/>
        </w:rPr>
        <w:t>引用标准文号：</w:t>
      </w:r>
      <w:r>
        <w:rPr>
          <w:b/>
        </w:rPr>
        <w:t xml:space="preserve">WS 364.6-2011，CV04.01.014 </w:t>
      </w:r>
      <w:r>
        <w:t>生活自理能力自我评估代码</w:t>
      </w:r>
      <w:r>
        <w:rPr>
          <w:b/>
        </w:rPr>
        <w:t>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可自理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0-3分为可自理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轻度依赖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4-8分为轻度依赖</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中度依赖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9-18分为中度依赖</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不能自理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≥19分为不能自理</w:t>
            </w:r>
          </w:p>
        </w:tc>
      </w:tr>
    </w:tbl>
    <w:p>
      <w:pPr>
        <w:jc w:val="left"/>
      </w:pPr>
    </w:p>
    <w:p>
      <w:pPr>
        <w:pStyle w:val="3"/>
        <w:numPr>
          <w:ilvl w:val="0"/>
          <w:numId w:val="3"/>
        </w:numPr>
        <w:spacing w:before="0" w:after="0" w:line="360" w:lineRule="auto"/>
        <w:jc w:val="left"/>
      </w:pPr>
      <w:r>
        <w:t>CV04.10.004 皮肤检查结果代码表</w:t>
      </w:r>
    </w:p>
    <w:p>
      <w:pPr>
        <w:jc w:val="left"/>
        <w:rPr>
          <w:b/>
        </w:rPr>
      </w:pPr>
      <w:r>
        <w:rPr>
          <w:rFonts w:hint="eastAsia"/>
          <w:b/>
        </w:rPr>
        <w:t>引用标准文号：</w:t>
      </w:r>
      <w:r>
        <w:rPr>
          <w:b/>
        </w:rPr>
        <w:t>WS 364.7-2011，CV04.10.004 皮肤检查结果代码表。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未见异常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潮红</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苍白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黄染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色索沉着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湿疹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糜烂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CV04.10.006 巩膜检查结果代码表</w:t>
      </w:r>
    </w:p>
    <w:p>
      <w:pPr>
        <w:jc w:val="left"/>
        <w:rPr>
          <w:b/>
        </w:rPr>
      </w:pPr>
      <w:r>
        <w:rPr>
          <w:rFonts w:hint="eastAsia"/>
          <w:b/>
        </w:rPr>
        <w:t>引用标准文号：</w:t>
      </w:r>
      <w:r>
        <w:rPr>
          <w:b/>
        </w:rPr>
        <w:t>WS 364.7-2011，CV04.10.006 巩膜检查结果代码表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正常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黄染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充血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CV04.10.007 口唇外观代码表</w:t>
      </w:r>
    </w:p>
    <w:p>
      <w:pPr>
        <w:jc w:val="left"/>
        <w:rPr>
          <w:b/>
        </w:rPr>
      </w:pPr>
      <w:r>
        <w:rPr>
          <w:rFonts w:hint="eastAsia"/>
          <w:b/>
        </w:rPr>
        <w:t>引用标准文号：</w:t>
      </w:r>
      <w:r>
        <w:rPr>
          <w:b/>
        </w:rPr>
        <w:t>WS 364.7-2011，CV04.10.007 口唇外观代码表。</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红润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苍白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皲裂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疱疹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CV04.10.010 齿列类别代码表</w:t>
      </w:r>
    </w:p>
    <w:p>
      <w:pPr>
        <w:jc w:val="left"/>
        <w:rPr>
          <w:b/>
        </w:rPr>
      </w:pPr>
      <w:r>
        <w:rPr>
          <w:rFonts w:hint="eastAsia"/>
          <w:b/>
        </w:rPr>
        <w:t>引用标准文号：</w:t>
      </w:r>
      <w:r>
        <w:rPr>
          <w:b/>
        </w:rPr>
        <w:t>WS 364.7-2011，CV04.10.010 齿列类别代码表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正常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缺齿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龋齿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义齿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CV04.10.011 淋巴结检查结果代码表</w:t>
      </w:r>
    </w:p>
    <w:p>
      <w:pPr>
        <w:jc w:val="left"/>
        <w:rPr>
          <w:b/>
        </w:rPr>
      </w:pPr>
      <w:r>
        <w:rPr>
          <w:rFonts w:hint="eastAsia"/>
          <w:b/>
        </w:rPr>
        <w:t>引用标准文号：</w:t>
      </w:r>
      <w:r>
        <w:rPr>
          <w:b/>
        </w:rPr>
        <w:t>WS 364.7-2011，CV04.10.011 淋巴结检查结果代码表。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未触及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锁骨上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腋窝</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CV04.10.012 乳腺检查结果代码表</w:t>
      </w:r>
    </w:p>
    <w:p>
      <w:pPr>
        <w:jc w:val="left"/>
        <w:rPr>
          <w:b/>
        </w:rPr>
      </w:pPr>
      <w:r>
        <w:rPr>
          <w:rFonts w:hint="eastAsia"/>
          <w:b/>
        </w:rPr>
        <w:t>引用标准文号：</w:t>
      </w:r>
      <w:r>
        <w:rPr>
          <w:b/>
        </w:rPr>
        <w:t>WS 364.7-2011，CV04.10.012 乳腺检查结果代码表。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未见异常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乳房切除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异常泌乳</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乳腺包块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乳腺结节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溢液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CV04.10.013 肛门指诊检查结果代码表</w:t>
      </w:r>
    </w:p>
    <w:p>
      <w:pPr>
        <w:jc w:val="left"/>
        <w:rPr>
          <w:b/>
        </w:rPr>
      </w:pPr>
      <w:r>
        <w:rPr>
          <w:rFonts w:hint="eastAsia"/>
          <w:b/>
        </w:rPr>
        <w:t>引用标准文号：</w:t>
      </w:r>
      <w:r>
        <w:rPr>
          <w:b/>
        </w:rPr>
        <w:t>WS 364.7-2011，CV04.10.013 肛门指诊检查结果代码表。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未及异常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触痛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包块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前列腺异常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CV04.10.014 下肢水肿检查结果代码表</w:t>
      </w:r>
    </w:p>
    <w:p>
      <w:pPr>
        <w:jc w:val="left"/>
        <w:rPr>
          <w:b/>
        </w:rPr>
      </w:pPr>
      <w:r>
        <w:rPr>
          <w:rFonts w:hint="eastAsia"/>
          <w:b/>
        </w:rPr>
        <w:t>引用标准文号：</w:t>
      </w:r>
      <w:r>
        <w:rPr>
          <w:b/>
        </w:rPr>
        <w:t>WS 364.7-2011，CV04.10.014 下肢水肿检查结果代码表。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无下肢水肿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单侧下肢水肿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双侧不对称下肢水肿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双侧对称下肢水肿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CV04.10.016 伤害部位代码表</w:t>
      </w:r>
    </w:p>
    <w:p>
      <w:pPr>
        <w:jc w:val="left"/>
        <w:rPr>
          <w:b/>
        </w:rPr>
      </w:pPr>
      <w:r>
        <w:rPr>
          <w:rFonts w:hint="eastAsia"/>
          <w:b/>
        </w:rPr>
        <w:t>引用标准文号：</w:t>
      </w:r>
      <w:r>
        <w:rPr>
          <w:b/>
        </w:rPr>
        <w:t>WS 364.7-2011，CV04.10.016 伤害部位代码表。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头部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上肢</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下肢</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躯干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多部位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全身广泛受伤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呼吸系统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消化系统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神经系统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CV04.50.015 尿实验窒定性检测结果代码表</w:t>
      </w:r>
    </w:p>
    <w:p>
      <w:pPr>
        <w:jc w:val="left"/>
        <w:rPr>
          <w:b/>
        </w:rPr>
      </w:pPr>
      <w:r>
        <w:rPr>
          <w:rFonts w:hint="eastAsia"/>
          <w:b/>
        </w:rPr>
        <w:t>引用标准文号：</w:t>
      </w:r>
      <w:r>
        <w:rPr>
          <w:b/>
        </w:rPr>
        <w:t>WS 364.9-2011，CV04.50.015 尿实验窒定性检测结果代码表。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++++以上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CV04.50.020 Rh(D)血型代码表</w:t>
      </w:r>
    </w:p>
    <w:p>
      <w:pPr>
        <w:jc w:val="left"/>
        <w:rPr>
          <w:b/>
        </w:rPr>
      </w:pPr>
      <w:r>
        <w:rPr>
          <w:rFonts w:hint="eastAsia"/>
          <w:b/>
        </w:rPr>
        <w:t>引用标准文号：</w:t>
      </w:r>
      <w:r>
        <w:rPr>
          <w:b/>
        </w:rPr>
        <w:t>WS 445.1-2014，CV04.50.020 Rh(D)血型代码表。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jc w:val="left"/>
      </w:pPr>
    </w:p>
    <w:p>
      <w:pPr>
        <w:pStyle w:val="3"/>
        <w:numPr>
          <w:ilvl w:val="0"/>
          <w:numId w:val="3"/>
        </w:numPr>
        <w:spacing w:before="0" w:after="0" w:line="360" w:lineRule="auto"/>
        <w:jc w:val="left"/>
      </w:pPr>
      <w:r>
        <w:t>CV05.01.002 诊断状态代码表</w:t>
      </w:r>
    </w:p>
    <w:p>
      <w:pPr>
        <w:jc w:val="left"/>
        <w:rPr>
          <w:b/>
        </w:rPr>
      </w:pPr>
      <w:r>
        <w:rPr>
          <w:rFonts w:hint="eastAsia"/>
          <w:b/>
        </w:rPr>
        <w:t>引用标准文号：</w:t>
      </w:r>
      <w:r>
        <w:rPr>
          <w:b/>
        </w:rPr>
        <w:t>WS 364.10-2011，CV05.01.002诊断状态代码表。</w:t>
      </w:r>
    </w:p>
    <w:p>
      <w:pPr>
        <w:jc w:val="left"/>
        <w:rPr>
          <w:rFonts w:cs="Times New Roman"/>
          <w:szCs w:val="24"/>
          <w:lang w:bidi="ar"/>
        </w:rPr>
      </w:pPr>
      <w:r>
        <w:rPr>
          <w:b/>
        </w:rPr>
        <w:t>说明：</w:t>
      </w:r>
      <w:r>
        <w:rPr>
          <w:rFonts w:hint="eastAsia" w:cs="Times New Roman"/>
          <w:szCs w:val="24"/>
          <w:lang w:bidi="ar"/>
        </w:rPr>
        <w:t>新增5：阳性检测，同网络直报一致。</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疑似病例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临床诊断病例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实验室确诊病例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病原携带者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阳性检测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bl>
    <w:p>
      <w:pPr>
        <w:jc w:val="left"/>
      </w:pPr>
    </w:p>
    <w:p>
      <w:pPr>
        <w:pStyle w:val="3"/>
        <w:numPr>
          <w:ilvl w:val="0"/>
          <w:numId w:val="3"/>
        </w:numPr>
        <w:spacing w:before="0" w:after="0" w:line="360" w:lineRule="auto"/>
        <w:jc w:val="left"/>
      </w:pPr>
      <w:r>
        <w:t>CV05.01.004 伤害性质代码表</w:t>
      </w:r>
    </w:p>
    <w:p>
      <w:pPr>
        <w:jc w:val="left"/>
        <w:rPr>
          <w:b/>
        </w:rPr>
      </w:pPr>
      <w:r>
        <w:rPr>
          <w:rFonts w:hint="eastAsia"/>
          <w:b/>
        </w:rPr>
        <w:t>引用标准文号：</w:t>
      </w:r>
      <w:r>
        <w:rPr>
          <w:b/>
        </w:rPr>
        <w:t>WS 364.10-2011，CV05.01.004伤害性质代码表。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扭伤/拉伤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锐器伤/咬伤/开放伤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挫伤/擦伤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烧烫伤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脑震荡/脑挫裂伤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器官系统损伤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不清楚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CV05.01.005 中医体质分类代码表</w:t>
      </w:r>
    </w:p>
    <w:p>
      <w:pPr>
        <w:numPr>
          <w:ilvl w:val="255"/>
          <w:numId w:val="0"/>
        </w:numPr>
        <w:jc w:val="left"/>
        <w:rPr>
          <w:b/>
        </w:rPr>
      </w:pPr>
      <w:r>
        <w:rPr>
          <w:rFonts w:hint="eastAsia"/>
          <w:b/>
        </w:rPr>
        <w:t>引用标准文号：</w:t>
      </w:r>
      <w:r>
        <w:rPr>
          <w:b/>
        </w:rPr>
        <w:t>WS 364.10-2011，CV05.01.005 中医体质分类代码表。</w:t>
      </w:r>
    </w:p>
    <w:p>
      <w:pPr>
        <w:numPr>
          <w:ilvl w:val="255"/>
          <w:numId w:val="0"/>
        </w:numPr>
        <w:rPr>
          <w:rFonts w:cs="宋体"/>
          <w:sz w:val="21"/>
          <w:szCs w:val="21"/>
          <w:lang w:bidi="ar"/>
        </w:rPr>
      </w:pPr>
      <w:r>
        <w:rPr>
          <w:rFonts w:hint="eastAsia"/>
          <w:b/>
        </w:rPr>
        <w:t>说明：</w:t>
      </w:r>
      <w:r>
        <w:rPr>
          <w:b/>
        </w:rPr>
        <w:t>无。</w:t>
      </w:r>
    </w:p>
    <w:tbl>
      <w:tblPr>
        <w:tblStyle w:val="10"/>
        <w:tblW w:w="10100" w:type="dxa"/>
        <w:tblInd w:w="0" w:type="dxa"/>
        <w:tblLayout w:type="fixed"/>
        <w:tblCellMar>
          <w:top w:w="0" w:type="dxa"/>
          <w:left w:w="0" w:type="dxa"/>
          <w:bottom w:w="0" w:type="dxa"/>
          <w:right w:w="0" w:type="dxa"/>
        </w:tblCellMar>
      </w:tblPr>
      <w:tblGrid>
        <w:gridCol w:w="1160"/>
        <w:gridCol w:w="2500"/>
        <w:gridCol w:w="6440"/>
      </w:tblGrid>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值含义</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说明</w:t>
            </w: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01</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平和质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02</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气虚质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03</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阳虚质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04</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阴虚质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05</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痰湿质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06</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湿热质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07</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血瘀质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08</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气郁质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09</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特秉质</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99</w:t>
            </w:r>
          </w:p>
        </w:tc>
        <w:tc>
          <w:tcPr>
            <w:tcW w:w="2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其他</w:t>
            </w:r>
          </w:p>
        </w:tc>
        <w:tc>
          <w:tcPr>
            <w:tcW w:w="6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bl>
    <w:p>
      <w:pPr>
        <w:jc w:val="left"/>
      </w:pPr>
    </w:p>
    <w:p>
      <w:pPr>
        <w:pStyle w:val="3"/>
        <w:numPr>
          <w:ilvl w:val="0"/>
          <w:numId w:val="3"/>
        </w:numPr>
        <w:spacing w:before="0" w:after="0" w:line="360" w:lineRule="auto"/>
        <w:jc w:val="left"/>
      </w:pPr>
      <w:r>
        <w:t>CV05.01.017 传染病名称代码表</w:t>
      </w:r>
    </w:p>
    <w:p>
      <w:pPr>
        <w:jc w:val="left"/>
        <w:rPr>
          <w:b/>
        </w:rPr>
      </w:pPr>
      <w:r>
        <w:rPr>
          <w:rFonts w:hint="eastAsia"/>
          <w:b/>
        </w:rPr>
        <w:t>引用标准文号：</w:t>
      </w:r>
      <w:r>
        <w:rPr>
          <w:b/>
        </w:rPr>
        <w:t>WS 364.10-2011，CV05.01.017传染病名称代码表</w:t>
      </w:r>
    </w:p>
    <w:p>
      <w:pPr>
        <w:jc w:val="left"/>
        <w:rPr>
          <w:b/>
        </w:rPr>
      </w:pPr>
      <w:r>
        <w:rPr>
          <w:b/>
        </w:rPr>
        <w:t>说明：</w:t>
      </w:r>
      <w:r>
        <w:rPr>
          <w:bCs/>
        </w:rPr>
        <w:t>增加传染病</w:t>
      </w:r>
      <w:r>
        <w:rPr>
          <w:rFonts w:hint="eastAsia" w:cs="Times New Roman"/>
          <w:bCs/>
          <w:szCs w:val="24"/>
          <w:lang w:bidi="ar"/>
        </w:rPr>
        <w:t>网络直报</w:t>
      </w:r>
      <w:r>
        <w:rPr>
          <w:rFonts w:cs="Times New Roman"/>
          <w:bCs/>
          <w:szCs w:val="24"/>
          <w:lang w:bidi="ar"/>
        </w:rPr>
        <w:t>系统ID,</w:t>
      </w:r>
      <w:r>
        <w:rPr>
          <w:rFonts w:hint="eastAsia" w:cs="Times New Roman"/>
          <w:bCs/>
          <w:szCs w:val="24"/>
          <w:lang w:bidi="ar"/>
        </w:rPr>
        <w:t>同传染病网络直报一致。</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052"/>
        <w:gridCol w:w="5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052"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5376" w:type="dxa"/>
            <w:shd w:val="clear" w:color="auto" w:fill="auto"/>
            <w:vAlign w:val="center"/>
          </w:tcPr>
          <w:p>
            <w:pPr>
              <w:keepNext w:val="0"/>
              <w:keepLines w:val="0"/>
              <w:suppressLineNumbers w:val="0"/>
              <w:spacing w:before="0" w:beforeAutospacing="0" w:after="0" w:afterAutospacing="0"/>
              <w:ind w:left="0" w:right="0"/>
              <w:jc w:val="center"/>
              <w:rPr>
                <w:rFonts w:hint="eastAsia"/>
                <w:bCs/>
                <w:sz w:val="21"/>
              </w:rPr>
            </w:pPr>
            <w:r>
              <w:rPr>
                <w:rFonts w:hint="eastAsia"/>
                <w:bCs/>
              </w:rPr>
              <w:t>传染病</w:t>
            </w:r>
            <w:r>
              <w:rPr>
                <w:rFonts w:hint="eastAsia" w:cs="Times New Roman"/>
                <w:bCs/>
                <w:szCs w:val="24"/>
                <w:lang w:bidi="ar"/>
              </w:rPr>
              <w:t>网络直报系统ID</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b/>
                <w:bCs/>
                <w:sz w:val="21"/>
              </w:rPr>
            </w:pPr>
            <w:r>
              <w:rPr>
                <w:rFonts w:hint="eastAsia"/>
                <w:b/>
                <w:bCs/>
                <w:sz w:val="21"/>
              </w:rPr>
              <w:t>甲类传染病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鼠疫</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霍乱</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b/>
                <w:bCs/>
                <w:sz w:val="21"/>
              </w:rPr>
            </w:pPr>
            <w:r>
              <w:rPr>
                <w:rFonts w:hint="eastAsia"/>
                <w:b/>
                <w:bCs/>
                <w:sz w:val="21"/>
              </w:rPr>
              <w:t>乙类传染病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传染性非典型肺炎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直报ID编码45</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艾滋病、HIV</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020201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艾滋病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020202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HIV</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甲肝</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直报ID编码240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乙肝</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直报ID编码241</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020303</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丙肝</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直报ID编码318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020304</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戊肝</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直报ID编码319</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020305</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肝炎（未分型）</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直报ID编码320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020400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脊髓灰质炎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020500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人感染高致病性禽流感</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直报ID编码202</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020600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甲型（H1N1）流感</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直报ID编码348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020700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麻疹</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020800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流行性出血热</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直报ID编码27</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020900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狂犬病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流行性乙型脑炎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登革热</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直报ID编码127</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炭疽</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021201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肺炭疽</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直报ID编码203</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021202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皮肤炭疽</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021203</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炭疽（未分型）</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直报ID编码205</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021300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痢疾</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021301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细菌性痢疾</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直报ID编码11</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021302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阿米巴性痢疾</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021400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肺结核</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021401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涂（+）</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021402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仅培阳</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直报ID编码134</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021403</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菌（-）</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直报ID编码131</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021404</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未痰检</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直报ID编码132</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021500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伤寒+副伤寒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021501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伤寒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021502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副伤寒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021600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流行性脑脊髓膜炎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直报ID编码25</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021700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百日咳</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直报ID编码23</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021800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白喉</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021900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新生儿破伤风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直报ID编码40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猩红热</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直报ID编码26</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布鲁氏菌病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淋病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直报ID编码16</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梅毒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Ⅰ期梅毒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Ⅱ期梅毒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022303</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Ⅲ期梅毒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022304</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胎传梅毒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直报ID编码201</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022305</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隐性梅毒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直报ID编码321</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022400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钩端螺旋体病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022500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血吸虫病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直报ID编码135</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022600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疟疾</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022601</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间日疟</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直报ID编码124</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022602</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恶性疟</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022603</w:t>
            </w:r>
          </w:p>
        </w:tc>
        <w:tc>
          <w:tcPr>
            <w:tcW w:w="3052" w:type="dxa"/>
            <w:shd w:val="clear" w:color="auto" w:fill="auto"/>
            <w:vAlign w:val="center"/>
          </w:tcPr>
          <w:p>
            <w:pPr>
              <w:keepNext w:val="0"/>
              <w:keepLines w:val="0"/>
              <w:suppressLineNumbers w:val="0"/>
              <w:spacing w:before="0" w:beforeAutospacing="0" w:after="0" w:afterAutospacing="0"/>
              <w:ind w:left="0" w:right="0" w:firstLine="210" w:firstLineChars="100"/>
              <w:jc w:val="left"/>
              <w:rPr>
                <w:rFonts w:hint="eastAsia"/>
                <w:sz w:val="21"/>
              </w:rPr>
            </w:pPr>
            <w:r>
              <w:rPr>
                <w:rFonts w:hint="eastAsia"/>
                <w:sz w:val="21"/>
              </w:rPr>
              <w:t>疟疾（未分型）</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直报ID编码126</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b/>
                <w:bCs/>
                <w:sz w:val="21"/>
              </w:rPr>
            </w:pPr>
            <w:r>
              <w:rPr>
                <w:rFonts w:hint="eastAsia"/>
                <w:b/>
                <w:bCs/>
                <w:sz w:val="21"/>
              </w:rPr>
              <w:t>丙类传染病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流行性感冒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直报ID编码139</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流行性腮腺炎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030300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风疹</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030400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急性出血性结膜炎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直报ID编码142</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030500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麻风病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030600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流行性和地方性斑疹伤寒</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030700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黑热病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直报ID编码122</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030800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包虫病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直报ID编码137</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030900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丝虫病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031000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其它感染性腹泻病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直报ID编码143</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031100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手足口病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直报ID编码198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其它传染病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非淋菌性尿道炎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直报ID编码144</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尖锐湿疣</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直报ID编码145</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040300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生殖器疱疹</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040400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生殖道沙眼衣原体感染</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直报ID编码347</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040500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水痘</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直报ID编码323</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040600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森林脑炎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040700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结核性胸膜炎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直报ID编码197</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040800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人感染猪链球菌</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直报ID编码346</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040900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肝吸虫病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041000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恙虫病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直报ID编码367</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041100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人粒细胞无形体病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直报ID编码368</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041200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发热伴血小板减少综合征</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041300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不明原因肺炎</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直报ID编码160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041400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不明原因</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直报ID编码199</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049900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其它</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990000</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其它疾病</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直报ID编码146</w:t>
            </w:r>
          </w:p>
        </w:tc>
      </w:tr>
    </w:tbl>
    <w:p>
      <w:pPr>
        <w:jc w:val="left"/>
      </w:pPr>
    </w:p>
    <w:p>
      <w:pPr>
        <w:pStyle w:val="3"/>
        <w:numPr>
          <w:ilvl w:val="0"/>
          <w:numId w:val="3"/>
        </w:numPr>
        <w:spacing w:before="0" w:after="0" w:line="360" w:lineRule="auto"/>
        <w:jc w:val="left"/>
      </w:pPr>
      <w:r>
        <w:t>CV05.01.038 过敏源代码表</w:t>
      </w:r>
    </w:p>
    <w:p>
      <w:pPr>
        <w:jc w:val="left"/>
        <w:rPr>
          <w:b/>
        </w:rPr>
      </w:pPr>
      <w:r>
        <w:rPr>
          <w:rFonts w:hint="eastAsia"/>
          <w:b/>
        </w:rPr>
        <w:t>引用标准文号：</w:t>
      </w:r>
      <w:r>
        <w:rPr>
          <w:b/>
        </w:rPr>
        <w:t>WS 364.10-2011，CV05.01.038过敏源代码表。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053"/>
        <w:gridCol w:w="5375"/>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05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5375"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药物</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101</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青霉素类抗生素</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102</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磺胺类抗生素</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103</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头孢类抗生素</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104</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含碘药品</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105</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酒精</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106</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镇静麻醉剂</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107</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链霉素类抗生素</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199</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其他药物过敏源</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食物</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201</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猪肉</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202</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羊肉</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203</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牛肉</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204</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牛奶</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205</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蛋及蛋制品</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206</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鸡、鸭等禽类食品</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207</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鱼、虾等水产类食品</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208</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水果(包括带壳的果仁)</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299</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其他食物过敏源</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环境</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301</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植物花粉</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302</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动物毛发</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303</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空气粉尘</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399</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其他环境过敏源</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混合性过敏源</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305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其他过敏源</w:t>
            </w:r>
          </w:p>
        </w:tc>
        <w:tc>
          <w:tcPr>
            <w:tcW w:w="537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CV05.01.040 输血反应类型代码表</w:t>
      </w:r>
    </w:p>
    <w:p>
      <w:pPr>
        <w:jc w:val="left"/>
        <w:rPr>
          <w:b/>
        </w:rPr>
      </w:pPr>
      <w:r>
        <w:rPr>
          <w:rFonts w:hint="eastAsia"/>
          <w:b/>
        </w:rPr>
        <w:t>引用标准文号：</w:t>
      </w:r>
      <w:r>
        <w:rPr>
          <w:b/>
        </w:rPr>
        <w:t>WS 445.5-2014 ，CV05.01.040 输血反应类型代码表。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过敏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溶血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CV05.10.001 残疾情况代码表</w:t>
      </w:r>
    </w:p>
    <w:p>
      <w:pPr>
        <w:jc w:val="left"/>
        <w:rPr>
          <w:b/>
        </w:rPr>
      </w:pPr>
      <w:r>
        <w:rPr>
          <w:rFonts w:hint="eastAsia"/>
          <w:b/>
        </w:rPr>
        <w:t>引用标准文号：</w:t>
      </w:r>
      <w:r>
        <w:rPr>
          <w:b/>
        </w:rPr>
        <w:t>WS 364.11-2011，CV05.10.001残疾情况代码表。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视力残疾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听力残疾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言语残疾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肢体残疾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智力残疾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多重残疾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CV05.10.010 病情转归代码表</w:t>
      </w:r>
    </w:p>
    <w:p>
      <w:pPr>
        <w:jc w:val="left"/>
        <w:rPr>
          <w:b/>
        </w:rPr>
      </w:pPr>
      <w:r>
        <w:rPr>
          <w:rFonts w:hint="eastAsia"/>
          <w:b/>
        </w:rPr>
        <w:t>引用标准文号：</w:t>
      </w:r>
      <w:r>
        <w:rPr>
          <w:b/>
        </w:rPr>
        <w:t>WS 364.11-2011，CV05.10.010病情转归代码表。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治愈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好转</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稳定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恶化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死亡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CV05.10.011 伤害转归代码表</w:t>
      </w:r>
    </w:p>
    <w:p>
      <w:pPr>
        <w:jc w:val="left"/>
        <w:rPr>
          <w:b/>
        </w:rPr>
      </w:pPr>
      <w:r>
        <w:rPr>
          <w:rFonts w:hint="eastAsia"/>
          <w:b/>
        </w:rPr>
        <w:t>引用标准文号：</w:t>
      </w:r>
      <w:r>
        <w:rPr>
          <w:b/>
        </w:rPr>
        <w:t>WS 364.11-2011，CV05.10.011伤害转归代码表。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治疗回家</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观察/住院/转院</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死亡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CV05.10.012 随访评价结果代码表</w:t>
      </w:r>
    </w:p>
    <w:p>
      <w:pPr>
        <w:numPr>
          <w:ilvl w:val="255"/>
          <w:numId w:val="0"/>
        </w:numPr>
        <w:jc w:val="left"/>
        <w:rPr>
          <w:b/>
        </w:rPr>
      </w:pPr>
      <w:r>
        <w:rPr>
          <w:rFonts w:hint="eastAsia"/>
          <w:b/>
        </w:rPr>
        <w:t>引用标准文号：</w:t>
      </w:r>
      <w:r>
        <w:rPr>
          <w:b/>
        </w:rPr>
        <w:t>WS 364.11-2011,CV05.10.012 随访评价结果代码表。</w:t>
      </w:r>
    </w:p>
    <w:p>
      <w:r>
        <w:rPr>
          <w:rFonts w:hint="eastAsia"/>
          <w:b/>
        </w:rPr>
        <w:t>说明：</w:t>
      </w:r>
      <w:r>
        <w:t>用于医学随访时对疾病控制状态的评价结果情况的代码填写。</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控制满意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控制不满意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不良反应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并发症</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CV05.10.019 入院病情代码表</w:t>
      </w:r>
    </w:p>
    <w:p>
      <w:pPr>
        <w:jc w:val="left"/>
        <w:rPr>
          <w:b/>
        </w:rPr>
      </w:pPr>
      <w:r>
        <w:rPr>
          <w:rFonts w:hint="eastAsia"/>
          <w:b/>
        </w:rPr>
        <w:t>引用标准文号：</w:t>
      </w:r>
      <w:r>
        <w:rPr>
          <w:b/>
        </w:rPr>
        <w:t>WS 445.10-2014，CV05.10.019 入院病情代码表。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920"/>
        <w:gridCol w:w="6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192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50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19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有</w:t>
            </w:r>
          </w:p>
        </w:tc>
        <w:tc>
          <w:tcPr>
            <w:tcW w:w="650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对应本出院诊断在入院时就已明确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19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临床未确定</w:t>
            </w:r>
          </w:p>
        </w:tc>
        <w:tc>
          <w:tcPr>
            <w:tcW w:w="650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对应本出院诊断在入院时临床未确定，或入院时该诊断为可疑诊断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19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情况不明</w:t>
            </w:r>
          </w:p>
        </w:tc>
        <w:tc>
          <w:tcPr>
            <w:tcW w:w="650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对应本出院诊断在入院时情况不明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19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50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在住院期间新发生的，入院时明确无对应本出院诊断的诊断条目</w:t>
            </w:r>
          </w:p>
        </w:tc>
      </w:tr>
    </w:tbl>
    <w:p>
      <w:pPr>
        <w:jc w:val="left"/>
      </w:pPr>
    </w:p>
    <w:p>
      <w:pPr>
        <w:pStyle w:val="3"/>
        <w:numPr>
          <w:ilvl w:val="0"/>
          <w:numId w:val="3"/>
        </w:numPr>
        <w:spacing w:before="0" w:after="0" w:line="360" w:lineRule="auto"/>
        <w:jc w:val="left"/>
      </w:pPr>
      <w:r>
        <w:t>CV06.00.101 中药使用类别代码表</w:t>
      </w:r>
    </w:p>
    <w:p>
      <w:pPr>
        <w:numPr>
          <w:ilvl w:val="255"/>
          <w:numId w:val="0"/>
        </w:numPr>
        <w:jc w:val="left"/>
        <w:rPr>
          <w:b/>
        </w:rPr>
      </w:pPr>
      <w:r>
        <w:rPr>
          <w:rFonts w:hint="eastAsia"/>
          <w:b/>
        </w:rPr>
        <w:t>引用标准文号：</w:t>
      </w:r>
      <w:r>
        <w:rPr>
          <w:b/>
        </w:rPr>
        <w:t>WS 364.12-2011,CV06.00.101 中药使用类别代码表。</w:t>
      </w:r>
    </w:p>
    <w:p>
      <w:pPr>
        <w:numPr>
          <w:ilvl w:val="255"/>
          <w:numId w:val="0"/>
        </w:numPr>
        <w:rPr>
          <w:rFonts w:cs="宋体"/>
          <w:sz w:val="21"/>
          <w:szCs w:val="21"/>
          <w:lang w:bidi="ar"/>
        </w:rPr>
      </w:pPr>
      <w:r>
        <w:rPr>
          <w:rFonts w:hint="eastAsia"/>
          <w:b/>
        </w:rPr>
        <w:t>说明：</w:t>
      </w:r>
      <w:r>
        <w:rPr>
          <w:b/>
        </w:rPr>
        <w:t>无。</w:t>
      </w:r>
    </w:p>
    <w:tbl>
      <w:tblPr>
        <w:tblStyle w:val="10"/>
        <w:tblW w:w="10100" w:type="dxa"/>
        <w:tblInd w:w="0" w:type="dxa"/>
        <w:tblLayout w:type="fixed"/>
        <w:tblCellMar>
          <w:top w:w="0" w:type="dxa"/>
          <w:left w:w="0" w:type="dxa"/>
          <w:bottom w:w="0" w:type="dxa"/>
          <w:right w:w="0" w:type="dxa"/>
        </w:tblCellMar>
      </w:tblPr>
      <w:tblGrid>
        <w:gridCol w:w="1160"/>
        <w:gridCol w:w="5620"/>
        <w:gridCol w:w="3320"/>
      </w:tblGrid>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值含义</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说明</w:t>
            </w: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未使用</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中成药</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中草药</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9</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其他中药</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bl>
    <w:p>
      <w:pPr>
        <w:jc w:val="left"/>
      </w:pPr>
    </w:p>
    <w:p>
      <w:pPr>
        <w:pStyle w:val="3"/>
        <w:numPr>
          <w:ilvl w:val="0"/>
          <w:numId w:val="3"/>
        </w:numPr>
        <w:spacing w:before="0" w:after="0" w:line="360" w:lineRule="auto"/>
        <w:jc w:val="left"/>
      </w:pPr>
      <w:r>
        <w:t>CV06.00.102 用药途径代码表</w:t>
      </w:r>
    </w:p>
    <w:p>
      <w:pPr>
        <w:jc w:val="left"/>
        <w:rPr>
          <w:b/>
        </w:rPr>
      </w:pPr>
      <w:r>
        <w:rPr>
          <w:rFonts w:hint="eastAsia"/>
          <w:b/>
        </w:rPr>
        <w:t>引用标准文号：</w:t>
      </w:r>
      <w:r>
        <w:rPr>
          <w:b/>
        </w:rPr>
        <w:t>WS 364.12-2011，CV06.00.102用药途径代码表。</w:t>
      </w:r>
    </w:p>
    <w:p>
      <w:pPr>
        <w:jc w:val="left"/>
        <w:rPr>
          <w:b/>
        </w:rPr>
      </w:pPr>
      <w:r>
        <w:rPr>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经口吞服药物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直肠用药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将药物经肛门塞入或注入直肠</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舌下用药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将药物置于舌下/颊部的给药方法</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将药物经过表皮注入体内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皮下注射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将药物注射入皮下组织</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皮内注射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将药物注射入皮内组织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肌肉注射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将药物注射入肌肉组织内</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静脉注射或静脉滴注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将药物注入静脉血管内</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吸入用药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将药物化为气雾状而后由呼吸道吸入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局部用药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主要发挥局部作用的给药方法</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椎管内用药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将药物注入椎管内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关节腔内用药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将药物注入关节腔内</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胸腔膜用药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将药物注入胸膜腔内</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腹腔用药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将药物注入腹腔内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阴道用药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将药物置于阴道中</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气管内用药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将药物注入气管内</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滴眼</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将药物经眼滴入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滴鼻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将药物经鼻滴入</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喷喉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将药物喷于喉部黏膜表面</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含化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将药物置于口腔内含化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敷伤口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将药物直接敷于伤口表面</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擦皮肤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用药物擦拭皮肤</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  其他局部用药途径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其他局部用药途径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其他用药途径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增补的用药途径内容</w:t>
            </w:r>
          </w:p>
        </w:tc>
      </w:tr>
    </w:tbl>
    <w:p>
      <w:pPr>
        <w:jc w:val="left"/>
      </w:pPr>
    </w:p>
    <w:p>
      <w:pPr>
        <w:pStyle w:val="3"/>
        <w:numPr>
          <w:ilvl w:val="0"/>
          <w:numId w:val="3"/>
        </w:numPr>
        <w:spacing w:before="0" w:after="0" w:line="360" w:lineRule="auto"/>
        <w:jc w:val="left"/>
      </w:pPr>
      <w:r>
        <w:t>CV06.00.223 手术体位代码表</w:t>
      </w:r>
    </w:p>
    <w:p>
      <w:pPr>
        <w:jc w:val="left"/>
      </w:pPr>
      <w:r>
        <w:rPr>
          <w:rFonts w:hint="eastAsia"/>
          <w:b/>
        </w:rPr>
        <w:t>引用标准文号：</w:t>
      </w:r>
      <w:r>
        <w:rPr>
          <w:b/>
        </w:rPr>
        <w:t>WS 445.5-2014，</w:t>
      </w:r>
      <w:r>
        <w:t>CV06.00.223 手术体位代码表。</w:t>
      </w:r>
    </w:p>
    <w:p>
      <w:pPr>
        <w:jc w:val="left"/>
      </w:pPr>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仰卧位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俯卧位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左侧卧位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右侧卧位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截石位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屈氏位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CV06.00.226 离院方式代码表</w:t>
      </w:r>
    </w:p>
    <w:p>
      <w:pPr>
        <w:jc w:val="left"/>
      </w:pPr>
      <w:r>
        <w:rPr>
          <w:rFonts w:hint="eastAsia"/>
          <w:b/>
        </w:rPr>
        <w:t>引用标准文号：</w:t>
      </w:r>
      <w:r>
        <w:rPr>
          <w:b/>
        </w:rPr>
        <w:t>WS 445.8-2014，</w:t>
      </w:r>
      <w:r>
        <w:t>CV06.00.226 离院方式代码表。</w:t>
      </w:r>
    </w:p>
    <w:p>
      <w:pPr>
        <w:jc w:val="left"/>
      </w:pPr>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4187"/>
        <w:gridCol w:w="424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418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424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医嘱离院</w:t>
            </w:r>
          </w:p>
        </w:tc>
        <w:tc>
          <w:tcPr>
            <w:tcW w:w="424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医嘱转院</w:t>
            </w:r>
          </w:p>
        </w:tc>
        <w:tc>
          <w:tcPr>
            <w:tcW w:w="424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医嘱转社区卫生服务机构/乡镇卫生院</w:t>
            </w:r>
          </w:p>
        </w:tc>
        <w:tc>
          <w:tcPr>
            <w:tcW w:w="424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非医嘱离院</w:t>
            </w:r>
          </w:p>
        </w:tc>
        <w:tc>
          <w:tcPr>
            <w:tcW w:w="424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死亡</w:t>
            </w:r>
          </w:p>
        </w:tc>
        <w:tc>
          <w:tcPr>
            <w:tcW w:w="424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418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424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 xml:space="preserve">CV06.00.227 </w:t>
      </w:r>
      <w:r>
        <w:rPr>
          <w:rFonts w:hint="eastAsia"/>
        </w:rPr>
        <w:t>操作部位代码表</w:t>
      </w:r>
    </w:p>
    <w:p>
      <w:pPr>
        <w:numPr>
          <w:ilvl w:val="255"/>
          <w:numId w:val="0"/>
        </w:numPr>
        <w:jc w:val="left"/>
        <w:rPr>
          <w:b/>
        </w:rPr>
      </w:pPr>
      <w:r>
        <w:rPr>
          <w:rFonts w:hint="eastAsia"/>
          <w:b/>
        </w:rPr>
        <w:t>引用标准文号：</w:t>
      </w:r>
      <w:r>
        <w:rPr>
          <w:b/>
        </w:rPr>
        <w:t>WS 445.4-2014 ，CV06.00.227 操作部位代码表</w:t>
      </w:r>
    </w:p>
    <w:p>
      <w:pPr>
        <w:rPr>
          <w:b/>
        </w:rPr>
      </w:pPr>
      <w:r>
        <w:rPr>
          <w:rFonts w:hint="eastAsia"/>
          <w:b/>
        </w:rPr>
        <w:t>说明：</w:t>
      </w:r>
      <w:r>
        <w:rPr>
          <w:b/>
        </w:rPr>
        <w:t>用于检查报告中的检查部位填写。</w:t>
      </w: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3285"/>
        <w:gridCol w:w="3285"/>
      </w:tblGrid>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jc w:val="center"/>
              <w:rPr>
                <w:rFonts w:hint="eastAsia"/>
                <w:b/>
              </w:rPr>
            </w:pPr>
            <w:r>
              <w:rPr>
                <w:rFonts w:hint="eastAsia"/>
                <w:b/>
              </w:rPr>
              <w:t>值</w:t>
            </w:r>
          </w:p>
        </w:tc>
        <w:tc>
          <w:tcPr>
            <w:tcW w:w="3285" w:type="dxa"/>
          </w:tcPr>
          <w:p>
            <w:pPr>
              <w:keepNext w:val="0"/>
              <w:keepLines w:val="0"/>
              <w:suppressLineNumbers w:val="0"/>
              <w:spacing w:before="0" w:beforeAutospacing="0" w:after="0" w:afterAutospacing="0"/>
              <w:ind w:left="0" w:right="0"/>
              <w:jc w:val="center"/>
              <w:rPr>
                <w:rFonts w:hint="eastAsia"/>
                <w:b/>
              </w:rPr>
            </w:pPr>
            <w:r>
              <w:rPr>
                <w:rFonts w:hint="eastAsia"/>
                <w:b/>
              </w:rPr>
              <w:t>值含义</w:t>
            </w:r>
          </w:p>
        </w:tc>
        <w:tc>
          <w:tcPr>
            <w:tcW w:w="3285" w:type="dxa"/>
          </w:tcPr>
          <w:p>
            <w:pPr>
              <w:keepNext w:val="0"/>
              <w:keepLines w:val="0"/>
              <w:suppressLineNumbers w:val="0"/>
              <w:spacing w:before="0" w:beforeAutospacing="0" w:after="0" w:afterAutospacing="0"/>
              <w:ind w:left="0" w:right="0"/>
              <w:jc w:val="center"/>
              <w:rPr>
                <w:rFonts w:hint="eastAsia"/>
                <w:b/>
              </w:rPr>
            </w:pPr>
            <w:r>
              <w:rPr>
                <w:rFonts w:hint="eastAsia"/>
                <w:b/>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01</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双侧鼻孔</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EN</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02</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臀部</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BU</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03</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左臂</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LA</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04</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左前胸</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LAC</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05</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左肘前窝</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LACF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06</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左三角肌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LD</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07</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左耳</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LE</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08</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左外颈</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LEJ</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09</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左足</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LF</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10</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左臀中肌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LG</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11</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左手</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LH</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12</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左内颈</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LIJ</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13</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左下腹</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LLAQ</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14</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左下臂</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LLFA</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15</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左中臂</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LMFA</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16</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左侧鼻孔</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LN</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17</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左后胸</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LPC</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18</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左锁骨下</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LSC</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19</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左大腿</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LT</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20</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左上臂</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LUA</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21</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左上腹</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LUAQ</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22</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左腹侧臀肌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LVG</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23</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左股外肌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LVL</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24</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右眼</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OD</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25</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左眼</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OS</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26</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双眼</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OU</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27</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肛门</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PA</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28</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会阴</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PERIN</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29</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右臂</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RA</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30</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右前胸</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RAC</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31</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右肘前窝</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RACF</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32</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右侧三角肌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RD</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33</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右耳</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RE</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34</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右外颈</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REJ</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35</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右足</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RF</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36</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右臀中肌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RG</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37</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右手</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RH</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38</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右内颈</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RIJ</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39</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右下腹</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RLAQ</w:t>
            </w:r>
          </w:p>
        </w:tc>
      </w:tr>
      <w:tr>
        <w:tblPrEx>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40</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右下臂</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RLFA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41</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右中臂</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RMFA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42</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右后胸</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43</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右锁骨下</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44</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右大腿</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45</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右上臂</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RUA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46</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右上腹</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RUAQ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47</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右腹侧臀肌</w:t>
            </w:r>
            <w:r>
              <w:rPr>
                <w:rFonts w:hint="eastAsia"/>
                <w:bCs/>
                <w:sz w:val="21"/>
                <w:szCs w:val="21"/>
              </w:rPr>
              <w:tab/>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RVG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4"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48</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右股外侧肌</w:t>
            </w:r>
          </w:p>
        </w:tc>
        <w:tc>
          <w:tcPr>
            <w:tcW w:w="3285" w:type="dxa"/>
          </w:tcPr>
          <w:p>
            <w:pPr>
              <w:keepNext w:val="0"/>
              <w:keepLines w:val="0"/>
              <w:suppressLineNumbers w:val="0"/>
              <w:spacing w:before="0" w:beforeAutospacing="0" w:after="0" w:afterAutospacing="0"/>
              <w:ind w:left="0" w:right="0"/>
              <w:rPr>
                <w:rFonts w:hint="eastAsia"/>
                <w:bCs/>
                <w:sz w:val="21"/>
                <w:szCs w:val="21"/>
              </w:rPr>
            </w:pPr>
            <w:r>
              <w:rPr>
                <w:rFonts w:hint="eastAsia"/>
                <w:bCs/>
                <w:sz w:val="21"/>
                <w:szCs w:val="21"/>
              </w:rPr>
              <w:t>RVL</w:t>
            </w:r>
          </w:p>
        </w:tc>
      </w:tr>
    </w:tbl>
    <w:p>
      <w:pPr>
        <w:jc w:val="left"/>
      </w:pPr>
    </w:p>
    <w:p>
      <w:pPr>
        <w:pStyle w:val="3"/>
        <w:numPr>
          <w:ilvl w:val="0"/>
          <w:numId w:val="3"/>
        </w:numPr>
        <w:spacing w:before="0" w:after="0" w:line="360" w:lineRule="auto"/>
        <w:jc w:val="left"/>
      </w:pPr>
      <w:r>
        <w:t>CV06.00.228 药品使用频率代码表</w:t>
      </w:r>
    </w:p>
    <w:p>
      <w:pPr>
        <w:numPr>
          <w:ilvl w:val="255"/>
          <w:numId w:val="0"/>
        </w:numPr>
        <w:jc w:val="left"/>
        <w:rPr>
          <w:b/>
        </w:rPr>
      </w:pPr>
      <w:r>
        <w:rPr>
          <w:rFonts w:hint="eastAsia"/>
          <w:b/>
        </w:rPr>
        <w:t>引用标准文号：</w:t>
      </w:r>
      <w:r>
        <w:rPr>
          <w:b/>
        </w:rPr>
        <w:t>WS 445.3-2014,CV06.00.228药物使用频次代码表。</w:t>
      </w:r>
    </w:p>
    <w:p>
      <w:r>
        <w:rPr>
          <w:rFonts w:hint="eastAsia"/>
          <w:b/>
        </w:rPr>
        <w:t>说明：可根据实际情况</w:t>
      </w:r>
      <w:r>
        <w:rPr>
          <w:b/>
        </w:rPr>
        <w:t>在</w:t>
      </w:r>
      <w:r>
        <w:rPr>
          <w:rFonts w:hint="eastAsia"/>
          <w:b/>
        </w:rPr>
        <w:t>次</w:t>
      </w:r>
      <w:r>
        <w:rPr>
          <w:b/>
        </w:rPr>
        <w:t>基础上进行增补代码。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5528"/>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5528"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225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bid</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2次/d</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biw</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2次/周</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Hs</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睡前服用</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q12h</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1次/12h</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q1h</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1次/h</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q3h</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1次/3h</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q6h</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1次/6h</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q8h</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1次/8h</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qd</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1次/d</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qid</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4次/d</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qod</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隔天1次</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qw</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1次/周</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st</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立即服用</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843" w:type="dxa"/>
            <w:shd w:val="clear" w:color="auto" w:fill="auto"/>
          </w:tcPr>
          <w:p>
            <w:pPr>
              <w:keepNext w:val="0"/>
              <w:keepLines w:val="0"/>
              <w:suppressLineNumbers w:val="0"/>
              <w:spacing w:before="0" w:beforeAutospacing="0" w:after="0" w:afterAutospacing="0"/>
              <w:ind w:left="0" w:right="0"/>
              <w:jc w:val="left"/>
              <w:rPr>
                <w:rFonts w:hint="eastAsia"/>
                <w:sz w:val="21"/>
              </w:rPr>
            </w:pPr>
            <w:r>
              <w:rPr>
                <w:rFonts w:hint="eastAsia"/>
              </w:rPr>
              <w:t>…</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可根据实际使用情况自行扩充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CV07.10.005 医疗付费方式代码表</w:t>
      </w:r>
    </w:p>
    <w:p>
      <w:pPr>
        <w:numPr>
          <w:ilvl w:val="255"/>
          <w:numId w:val="0"/>
        </w:numPr>
        <w:jc w:val="left"/>
        <w:rPr>
          <w:rFonts w:hint="eastAsia"/>
          <w:b/>
          <w:color w:val="FF0000"/>
        </w:rPr>
      </w:pPr>
      <w:r>
        <w:rPr>
          <w:rFonts w:hint="eastAsia"/>
          <w:b/>
          <w:color w:val="FF0000"/>
        </w:rPr>
        <w:t>引用标准文号：</w:t>
      </w:r>
      <w:r>
        <w:rPr>
          <w:rFonts w:hint="eastAsia"/>
          <w:b w:val="0"/>
          <w:bCs w:val="0"/>
          <w:color w:val="FF0000"/>
        </w:rPr>
        <w:t>WS 445.11-2014，CV07.10.005</w:t>
      </w:r>
      <w:r>
        <w:rPr>
          <w:rFonts w:hint="default"/>
          <w:b w:val="0"/>
          <w:bCs w:val="0"/>
          <w:color w:val="FF0000"/>
          <w:woUserID w:val="4"/>
        </w:rPr>
        <w:t xml:space="preserve"> </w:t>
      </w:r>
      <w:r>
        <w:rPr>
          <w:rFonts w:hint="eastAsia"/>
          <w:b w:val="0"/>
          <w:bCs w:val="0"/>
          <w:color w:val="FF0000"/>
        </w:rPr>
        <w:t>医疗付费方式代码表。</w:t>
      </w:r>
    </w:p>
    <w:p>
      <w:pPr>
        <w:numPr>
          <w:ilvl w:val="255"/>
          <w:numId w:val="0"/>
        </w:numPr>
        <w:jc w:val="left"/>
        <w:rPr>
          <w:rFonts w:hint="eastAsia"/>
          <w:b w:val="0"/>
          <w:bCs w:val="0"/>
          <w:color w:val="FF0000"/>
        </w:rPr>
      </w:pPr>
      <w:r>
        <w:rPr>
          <w:rFonts w:hint="eastAsia"/>
          <w:b/>
          <w:color w:val="FF0000"/>
        </w:rPr>
        <w:t>说明：</w:t>
      </w:r>
      <w:r>
        <w:rPr>
          <w:rFonts w:hint="eastAsia"/>
          <w:b w:val="0"/>
          <w:bCs w:val="0"/>
          <w:color w:val="FF0000"/>
        </w:rPr>
        <w:t>增加“90 城乡居民医疗保险”代码，同《河南省医疗保障信息平台定点医药机构接口规范v1.4》中“医疗费用支付方式代码”保持一致。</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城镇职工基本医疗保险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城镇居民基本医疗保险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新型农村合作医疗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贫因救助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商业医疗保险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全公费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全自费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lang w:bidi="ar"/>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lang w:bidi="ar"/>
              </w:rPr>
              <w:t>其他医疗保险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lang w:bidi="ar"/>
              </w:rPr>
            </w:pPr>
            <w:r>
              <w:rPr>
                <w:rFonts w:hint="eastAsia"/>
                <w:sz w:val="21"/>
                <w:lang w:bidi="ar"/>
              </w:rPr>
              <w:t>90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lang w:bidi="ar"/>
              </w:rPr>
            </w:pPr>
            <w:r>
              <w:rPr>
                <w:rFonts w:hint="eastAsia"/>
                <w:sz w:val="21"/>
                <w:lang w:bidi="ar"/>
              </w:rPr>
              <w:t>城乡居民医疗保险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源自《河南省医疗保障信息平台定点医药机构接口规范v1.4》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CV09.00.403 入院途径代码表</w:t>
      </w:r>
    </w:p>
    <w:p>
      <w:pPr>
        <w:jc w:val="left"/>
      </w:pPr>
      <w:r>
        <w:rPr>
          <w:rFonts w:hint="eastAsia"/>
          <w:b/>
        </w:rPr>
        <w:t>引用标准文号：</w:t>
      </w:r>
      <w:r>
        <w:rPr>
          <w:b w:val="0"/>
          <w:bCs w:val="0"/>
        </w:rPr>
        <w:t>WS 445.8-2014，</w:t>
      </w:r>
      <w:r>
        <w:t>CV09.00.403 入院途径代码表。</w:t>
      </w:r>
    </w:p>
    <w:p>
      <w:pPr>
        <w:jc w:val="left"/>
      </w:pPr>
      <w: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门诊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其他医疗机构转入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rPr>
          <w:lang w:bidi="ar"/>
        </w:rPr>
        <w:t>CV09.01.002</w:t>
      </w:r>
      <w:r>
        <w:t xml:space="preserve">  地区级别代码表</w:t>
      </w:r>
    </w:p>
    <w:p>
      <w:pPr>
        <w:jc w:val="left"/>
        <w:rPr>
          <w:b w:val="0"/>
          <w:bCs w:val="0"/>
        </w:rPr>
      </w:pPr>
      <w:r>
        <w:rPr>
          <w:rFonts w:hint="eastAsia"/>
          <w:b/>
        </w:rPr>
        <w:t>引用标准文号：</w:t>
      </w:r>
      <w:r>
        <w:rPr>
          <w:b w:val="0"/>
          <w:bCs w:val="0"/>
        </w:rPr>
        <w:t>WS 541-2017 ，</w:t>
      </w:r>
      <w:r>
        <w:rPr>
          <w:rFonts w:hint="eastAsia"/>
          <w:b w:val="0"/>
          <w:bCs w:val="0"/>
        </w:rPr>
        <w:t>CV09.01.002地区级别代码表</w:t>
      </w:r>
    </w:p>
    <w:p>
      <w:pPr>
        <w:jc w:val="left"/>
        <w:rPr>
          <w:b w:val="0"/>
          <w:bCs w:val="0"/>
        </w:rPr>
      </w:pPr>
      <w:r>
        <w:rPr>
          <w:b w:val="0"/>
          <w:bCs w:val="0"/>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省级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地市级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县（市、区）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乡（镇、街道）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rPr>
          <w:lang w:bidi="ar"/>
        </w:rPr>
      </w:pPr>
      <w:r>
        <w:rPr>
          <w:lang w:bidi="ar"/>
        </w:rPr>
        <w:t xml:space="preserve">CV5199.01 </w:t>
      </w:r>
      <w:r>
        <w:rPr>
          <w:rFonts w:hint="eastAsia"/>
          <w:lang w:bidi="ar"/>
        </w:rPr>
        <w:t>检验检查类别代码</w:t>
      </w:r>
    </w:p>
    <w:p>
      <w:pPr>
        <w:numPr>
          <w:ilvl w:val="255"/>
          <w:numId w:val="0"/>
        </w:numPr>
        <w:jc w:val="left"/>
        <w:rPr>
          <w:rFonts w:hint="default"/>
          <w:b w:val="0"/>
          <w:bCs w:val="0"/>
          <w:woUserID w:val="3"/>
        </w:rPr>
      </w:pPr>
      <w:r>
        <w:rPr>
          <w:rFonts w:hint="eastAsia"/>
          <w:b/>
        </w:rPr>
        <w:t>引用标准文号：</w:t>
      </w:r>
      <w:r>
        <w:rPr>
          <w:b w:val="0"/>
          <w:bCs w:val="0"/>
        </w:rPr>
        <w:t>《全国医院数据上报管理方案-医疗数据字典》（国卫办规划函〔2019〕380号),CV5199.01</w:t>
      </w:r>
      <w:r>
        <w:rPr>
          <w:rFonts w:hint="eastAsia"/>
          <w:b w:val="0"/>
          <w:bCs w:val="0"/>
          <w:lang w:val="zh-CN" w:bidi="zh-CN"/>
        </w:rPr>
        <w:t xml:space="preserve"> 检验</w:t>
      </w:r>
      <w:r>
        <w:rPr>
          <w:rFonts w:hint="default"/>
          <w:b w:val="0"/>
          <w:bCs w:val="0"/>
          <w:lang w:bidi="zh-CN"/>
          <w:woUserID w:val="3"/>
        </w:rPr>
        <w:t>检查</w:t>
      </w:r>
      <w:r>
        <w:rPr>
          <w:rFonts w:hint="eastAsia"/>
          <w:b w:val="0"/>
          <w:bCs w:val="0"/>
          <w:lang w:val="zh-CN" w:bidi="zh-CN"/>
        </w:rPr>
        <w:t>类别</w:t>
      </w:r>
      <w:r>
        <w:rPr>
          <w:rFonts w:hint="default"/>
          <w:b w:val="0"/>
          <w:bCs w:val="0"/>
          <w:lang w:bidi="zh-CN"/>
          <w:woUserID w:val="3"/>
        </w:rPr>
        <w:t>代码。</w:t>
      </w:r>
    </w:p>
    <w:p>
      <w:pPr>
        <w:jc w:val="left"/>
      </w:pPr>
      <w:r>
        <w:rPr>
          <w:rFonts w:hint="eastAsia"/>
          <w:b/>
        </w:rPr>
        <w:t>说明：</w:t>
      </w:r>
      <w:r>
        <w:rPr>
          <w:rFonts w:hint="default"/>
          <w:b w:val="0"/>
          <w:bCs w:val="0"/>
          <w:woUserID w:val="3"/>
        </w:rPr>
        <w:t>适用于</w:t>
      </w:r>
      <w:r>
        <w:rPr>
          <w:b w:val="0"/>
          <w:bCs w:val="0"/>
        </w:rPr>
        <w:t>检查报告记录表填写。</w:t>
      </w: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5655"/>
        <w:gridCol w:w="3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widowControl/>
              <w:suppressLineNumbers w:val="0"/>
              <w:spacing w:before="0" w:beforeAutospacing="0" w:after="0" w:afterAutospacing="0"/>
              <w:ind w:left="0" w:right="0"/>
              <w:jc w:val="center"/>
              <w:textAlignment w:val="center"/>
              <w:rPr>
                <w:rFonts w:hint="eastAsia" w:cs="宋体"/>
                <w:b/>
                <w:color w:val="000000"/>
                <w:kern w:val="0"/>
                <w:sz w:val="21"/>
                <w:szCs w:val="21"/>
                <w:lang w:bidi="ar"/>
              </w:rPr>
            </w:pPr>
            <w:r>
              <w:rPr>
                <w:rFonts w:hint="eastAsia" w:cs="宋体"/>
                <w:b/>
                <w:color w:val="000000"/>
                <w:kern w:val="0"/>
                <w:sz w:val="21"/>
                <w:szCs w:val="21"/>
                <w:lang w:bidi="ar"/>
              </w:rPr>
              <w:t>值</w:t>
            </w:r>
          </w:p>
        </w:tc>
        <w:tc>
          <w:tcPr>
            <w:tcW w:w="5655" w:type="dxa"/>
          </w:tcPr>
          <w:p>
            <w:pPr>
              <w:keepNext w:val="0"/>
              <w:keepLines w:val="0"/>
              <w:widowControl/>
              <w:suppressLineNumbers w:val="0"/>
              <w:spacing w:before="0" w:beforeAutospacing="0" w:after="0" w:afterAutospacing="0"/>
              <w:ind w:left="0" w:right="0"/>
              <w:jc w:val="center"/>
              <w:textAlignment w:val="center"/>
              <w:rPr>
                <w:rFonts w:hint="eastAsia" w:cs="宋体"/>
                <w:b/>
                <w:color w:val="000000"/>
                <w:kern w:val="0"/>
                <w:sz w:val="21"/>
                <w:szCs w:val="21"/>
                <w:lang w:bidi="ar"/>
              </w:rPr>
            </w:pPr>
            <w:r>
              <w:rPr>
                <w:rFonts w:hint="eastAsia" w:cs="宋体"/>
                <w:b/>
                <w:color w:val="000000"/>
                <w:kern w:val="0"/>
                <w:sz w:val="21"/>
                <w:szCs w:val="21"/>
                <w:lang w:bidi="ar"/>
              </w:rPr>
              <w:t>值含义</w:t>
            </w:r>
          </w:p>
        </w:tc>
        <w:tc>
          <w:tcPr>
            <w:tcW w:w="3015" w:type="dxa"/>
          </w:tcPr>
          <w:p>
            <w:pPr>
              <w:keepNext w:val="0"/>
              <w:keepLines w:val="0"/>
              <w:widowControl/>
              <w:suppressLineNumbers w:val="0"/>
              <w:spacing w:before="0" w:beforeAutospacing="0" w:after="0" w:afterAutospacing="0"/>
              <w:ind w:left="0" w:right="0"/>
              <w:jc w:val="center"/>
              <w:textAlignment w:val="center"/>
              <w:rPr>
                <w:rFonts w:hint="eastAsia" w:cs="宋体"/>
                <w:b/>
                <w:color w:val="000000"/>
                <w:kern w:val="0"/>
                <w:sz w:val="21"/>
                <w:szCs w:val="21"/>
                <w:lang w:bidi="ar"/>
              </w:rPr>
            </w:pPr>
            <w:r>
              <w:rPr>
                <w:rFonts w:hint="eastAsia" w:cs="宋体"/>
                <w:b/>
                <w:color w:val="000000"/>
                <w:kern w:val="0"/>
                <w:sz w:val="21"/>
                <w:szCs w:val="21"/>
                <w:lang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1</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问询</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物理</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201</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计算机X线断层摄影</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202</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核磁共振成像</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203</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数字减影血管造影</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204</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普通X光摄影</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205</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特殊X光摄影</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206</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超声检查</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207</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病理检查</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208</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内镜检查</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209</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核医学检查</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299</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其他检查项目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实验室</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301</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临检项目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302</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血生化项目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303</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免疫项目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304</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微生物项目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305</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血液学项目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399</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其他检验项目</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4</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心电</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401</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12导同步心电检查</w:t>
            </w:r>
          </w:p>
        </w:tc>
        <w:tc>
          <w:tcPr>
            <w:tcW w:w="3015" w:type="dxa"/>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4"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9</w:t>
            </w:r>
          </w:p>
        </w:tc>
        <w:tc>
          <w:tcPr>
            <w:tcW w:w="5655" w:type="dxa"/>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影像</w:t>
            </w:r>
          </w:p>
        </w:tc>
        <w:tc>
          <w:tcPr>
            <w:tcW w:w="3015" w:type="dxa"/>
          </w:tcPr>
          <w:p>
            <w:pPr>
              <w:keepNext w:val="0"/>
              <w:keepLines w:val="0"/>
              <w:suppressLineNumbers w:val="0"/>
              <w:spacing w:before="0" w:beforeAutospacing="0" w:after="0" w:afterAutospacing="0"/>
              <w:ind w:left="0" w:right="0"/>
              <w:rPr>
                <w:rFonts w:hint="eastAsia"/>
                <w:sz w:val="21"/>
                <w:szCs w:val="21"/>
              </w:rPr>
            </w:pPr>
          </w:p>
        </w:tc>
      </w:tr>
    </w:tbl>
    <w:p>
      <w:pPr>
        <w:jc w:val="left"/>
      </w:pPr>
    </w:p>
    <w:p>
      <w:pPr>
        <w:pStyle w:val="3"/>
        <w:numPr>
          <w:ilvl w:val="0"/>
          <w:numId w:val="3"/>
        </w:numPr>
        <w:spacing w:before="0" w:after="0" w:line="360" w:lineRule="auto"/>
        <w:jc w:val="left"/>
      </w:pPr>
      <w:r>
        <w:t>CV5501.15 住院病例病案质量代码表</w:t>
      </w:r>
    </w:p>
    <w:p>
      <w:pPr>
        <w:jc w:val="left"/>
        <w:rPr>
          <w:b w:val="0"/>
          <w:bCs w:val="0"/>
        </w:rPr>
      </w:pPr>
      <w:r>
        <w:rPr>
          <w:rFonts w:hint="eastAsia"/>
          <w:b/>
        </w:rPr>
        <w:t>引用标准文号：</w:t>
      </w:r>
      <w:r>
        <w:rPr>
          <w:b/>
        </w:rPr>
        <w:t xml:space="preserve"> </w:t>
      </w:r>
      <w:r>
        <w:rPr>
          <w:b w:val="0"/>
          <w:bCs w:val="0"/>
        </w:rPr>
        <w:t>《全国医院数据上报管理方案 医疗数据字典(试行)》(国卫办规划函〔2019〕380号)，CV5501.15 住院病例病案质量代码。</w:t>
      </w:r>
    </w:p>
    <w:p>
      <w:pPr>
        <w:jc w:val="left"/>
        <w:rPr>
          <w:b/>
        </w:rPr>
      </w:pPr>
      <w:r>
        <w:rPr>
          <w:b/>
        </w:rPr>
        <w:t>说明：</w:t>
      </w:r>
      <w:r>
        <w:rPr>
          <w:b w:val="0"/>
          <w:bCs w:val="0"/>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乙</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丙</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240" w:lineRule="auto"/>
        <w:jc w:val="left"/>
        <w:rPr>
          <w:b w:val="0"/>
        </w:rPr>
      </w:pPr>
      <w:r>
        <w:t>CT04.50.001 检验报告单类别</w:t>
      </w:r>
    </w:p>
    <w:p>
      <w:pPr>
        <w:numPr>
          <w:ilvl w:val="255"/>
          <w:numId w:val="0"/>
        </w:numPr>
        <w:jc w:val="left"/>
        <w:rPr>
          <w:rFonts w:hint="default"/>
          <w:b/>
          <w:woUserID w:val="3"/>
        </w:rPr>
      </w:pPr>
      <w:r>
        <w:rPr>
          <w:rFonts w:hint="eastAsia"/>
          <w:b/>
        </w:rPr>
        <w:t>引用标准文号：</w:t>
      </w:r>
      <w:r>
        <w:rPr>
          <w:b w:val="0"/>
          <w:bCs w:val="0"/>
        </w:rPr>
        <w:t>《全国医院数据上报管理方案-医疗数据字典》（国卫办规划函〔2019〕380号),CT04.50.001</w:t>
      </w:r>
      <w:r>
        <w:rPr>
          <w:rFonts w:hint="eastAsia"/>
          <w:b w:val="0"/>
          <w:bCs w:val="0"/>
          <w:lang w:val="zh-CN" w:bidi="zh-CN"/>
        </w:rPr>
        <w:t>检验报告单类别</w:t>
      </w:r>
      <w:r>
        <w:rPr>
          <w:rFonts w:hint="default"/>
          <w:b w:val="0"/>
          <w:bCs w:val="0"/>
          <w:lang w:bidi="zh-CN"/>
          <w:woUserID w:val="3"/>
        </w:rPr>
        <w:t>。</w:t>
      </w:r>
    </w:p>
    <w:p>
      <w:pPr>
        <w:keepNext w:val="0"/>
        <w:keepLines w:val="0"/>
        <w:widowControl w:val="0"/>
        <w:suppressLineNumbers w:val="0"/>
        <w:spacing w:before="0" w:beforeAutospacing="0" w:after="0" w:afterAutospacing="0"/>
        <w:ind w:left="0" w:right="0"/>
        <w:jc w:val="left"/>
        <w:rPr>
          <w:b w:val="0"/>
          <w:bCs w:val="0"/>
        </w:rPr>
      </w:pPr>
      <w:r>
        <w:rPr>
          <w:rFonts w:hint="eastAsia"/>
          <w:b/>
        </w:rPr>
        <w:t>说明：</w:t>
      </w:r>
      <w:r>
        <w:rPr>
          <w:rFonts w:hint="eastAsia" w:ascii="宋体" w:hAnsi="宋体" w:eastAsia="宋体" w:cs="Times New Roman"/>
          <w:b w:val="0"/>
          <w:bCs w:val="0"/>
          <w:kern w:val="2"/>
          <w:sz w:val="24"/>
          <w:szCs w:val="22"/>
          <w:lang w:val="en-US" w:eastAsia="zh-CN" w:bidi="ar"/>
          <w:woUserID w:val="3"/>
        </w:rPr>
        <w:t>适用于检验报告单填写。</w:t>
      </w:r>
    </w:p>
    <w:tbl>
      <w:tblPr>
        <w:tblStyle w:val="11"/>
        <w:tblW w:w="98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5670"/>
        <w:gridCol w:w="3015"/>
      </w:tblGrid>
      <w:tr>
        <w:tblPrEx>
          <w:tblLayout w:type="fixed"/>
          <w:tblCellMar>
            <w:top w:w="0" w:type="dxa"/>
            <w:left w:w="108" w:type="dxa"/>
            <w:bottom w:w="0" w:type="dxa"/>
            <w:right w:w="108" w:type="dxa"/>
          </w:tblCellMar>
        </w:tblPrEx>
        <w:tc>
          <w:tcPr>
            <w:tcW w:w="1154" w:type="dxa"/>
          </w:tcPr>
          <w:p>
            <w:pPr>
              <w:keepNext w:val="0"/>
              <w:keepLines w:val="0"/>
              <w:widowControl/>
              <w:suppressLineNumbers w:val="0"/>
              <w:spacing w:before="0" w:beforeAutospacing="0" w:after="0" w:afterAutospacing="0"/>
              <w:ind w:left="0" w:right="0"/>
              <w:jc w:val="center"/>
              <w:textAlignment w:val="center"/>
              <w:rPr>
                <w:rFonts w:hint="eastAsia" w:cs="宋体"/>
                <w:b/>
                <w:color w:val="000000"/>
                <w:kern w:val="0"/>
                <w:sz w:val="21"/>
                <w:szCs w:val="21"/>
                <w:lang w:bidi="ar"/>
              </w:rPr>
            </w:pPr>
            <w:r>
              <w:rPr>
                <w:rFonts w:hint="eastAsia" w:cs="宋体"/>
                <w:b/>
                <w:color w:val="000000"/>
                <w:kern w:val="0"/>
                <w:sz w:val="21"/>
                <w:szCs w:val="21"/>
                <w:lang w:bidi="ar"/>
              </w:rPr>
              <w:t>值</w:t>
            </w:r>
          </w:p>
        </w:tc>
        <w:tc>
          <w:tcPr>
            <w:tcW w:w="5670" w:type="dxa"/>
          </w:tcPr>
          <w:p>
            <w:pPr>
              <w:keepNext w:val="0"/>
              <w:keepLines w:val="0"/>
              <w:widowControl/>
              <w:suppressLineNumbers w:val="0"/>
              <w:spacing w:before="0" w:beforeAutospacing="0" w:after="0" w:afterAutospacing="0"/>
              <w:ind w:left="0" w:right="0"/>
              <w:jc w:val="center"/>
              <w:textAlignment w:val="center"/>
              <w:rPr>
                <w:rFonts w:hint="eastAsia" w:cs="宋体"/>
                <w:b/>
                <w:color w:val="000000"/>
                <w:kern w:val="0"/>
                <w:sz w:val="21"/>
                <w:szCs w:val="21"/>
                <w:lang w:bidi="ar"/>
              </w:rPr>
            </w:pPr>
            <w:r>
              <w:rPr>
                <w:rFonts w:hint="eastAsia" w:cs="宋体"/>
                <w:b/>
                <w:color w:val="000000"/>
                <w:kern w:val="0"/>
                <w:sz w:val="21"/>
                <w:szCs w:val="21"/>
                <w:lang w:bidi="ar"/>
              </w:rPr>
              <w:t>值含义</w:t>
            </w:r>
          </w:p>
        </w:tc>
        <w:tc>
          <w:tcPr>
            <w:tcW w:w="3015" w:type="dxa"/>
          </w:tcPr>
          <w:p>
            <w:pPr>
              <w:keepNext w:val="0"/>
              <w:keepLines w:val="0"/>
              <w:widowControl/>
              <w:suppressLineNumbers w:val="0"/>
              <w:spacing w:before="0" w:beforeAutospacing="0" w:after="0" w:afterAutospacing="0"/>
              <w:ind w:left="0" w:right="0"/>
              <w:jc w:val="center"/>
              <w:textAlignment w:val="center"/>
              <w:rPr>
                <w:rFonts w:hint="eastAsia" w:cs="宋体"/>
                <w:b/>
                <w:color w:val="000000"/>
                <w:kern w:val="0"/>
                <w:sz w:val="21"/>
                <w:szCs w:val="21"/>
                <w:lang w:bidi="ar"/>
              </w:rPr>
            </w:pPr>
            <w:r>
              <w:rPr>
                <w:rFonts w:hint="eastAsia" w:cs="宋体"/>
                <w:b/>
                <w:color w:val="000000"/>
                <w:kern w:val="0"/>
                <w:sz w:val="21"/>
                <w:szCs w:val="21"/>
                <w:lang w:bidi="ar"/>
              </w:rPr>
              <w:t>说明</w:t>
            </w:r>
          </w:p>
        </w:tc>
      </w:tr>
      <w:tr>
        <w:tblPrEx>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1</w:t>
            </w:r>
          </w:p>
        </w:tc>
        <w:tc>
          <w:tcPr>
            <w:tcW w:w="5670" w:type="dxa"/>
          </w:tcPr>
          <w:p>
            <w:pPr>
              <w:keepNext w:val="0"/>
              <w:keepLines w:val="0"/>
              <w:suppressLineNumbers w:val="0"/>
              <w:spacing w:before="0" w:beforeAutospacing="0" w:after="0" w:afterAutospacing="0"/>
              <w:ind w:left="0" w:right="0"/>
              <w:rPr>
                <w:rFonts w:hint="eastAsia"/>
              </w:rPr>
            </w:pPr>
            <w:r>
              <w:rPr>
                <w:rFonts w:hint="eastAsia"/>
              </w:rPr>
              <w:t>一般临床检验</w:t>
            </w:r>
          </w:p>
        </w:tc>
        <w:tc>
          <w:tcPr>
            <w:tcW w:w="3015"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2</w:t>
            </w:r>
          </w:p>
        </w:tc>
        <w:tc>
          <w:tcPr>
            <w:tcW w:w="5670" w:type="dxa"/>
          </w:tcPr>
          <w:p>
            <w:pPr>
              <w:keepNext w:val="0"/>
              <w:keepLines w:val="0"/>
              <w:suppressLineNumbers w:val="0"/>
              <w:spacing w:before="0" w:beforeAutospacing="0" w:after="0" w:afterAutospacing="0"/>
              <w:ind w:left="0" w:right="0"/>
              <w:rPr>
                <w:rFonts w:hint="eastAsia"/>
              </w:rPr>
            </w:pPr>
            <w:r>
              <w:rPr>
                <w:rFonts w:hint="eastAsia"/>
              </w:rPr>
              <w:t>血液学检查</w:t>
            </w:r>
          </w:p>
        </w:tc>
        <w:tc>
          <w:tcPr>
            <w:tcW w:w="3015" w:type="dxa"/>
          </w:tcPr>
          <w:p>
            <w:pPr>
              <w:keepNext w:val="0"/>
              <w:keepLines w:val="0"/>
              <w:suppressLineNumbers w:val="0"/>
              <w:spacing w:before="0" w:beforeAutospacing="0" w:after="0" w:afterAutospacing="0"/>
              <w:ind w:left="0" w:right="0"/>
              <w:rPr>
                <w:rFonts w:hint="eastAsia"/>
              </w:rPr>
            </w:pPr>
          </w:p>
        </w:tc>
      </w:tr>
      <w:tr>
        <w:tblPrEx>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3</w:t>
            </w:r>
          </w:p>
        </w:tc>
        <w:tc>
          <w:tcPr>
            <w:tcW w:w="5670" w:type="dxa"/>
          </w:tcPr>
          <w:p>
            <w:pPr>
              <w:keepNext w:val="0"/>
              <w:keepLines w:val="0"/>
              <w:suppressLineNumbers w:val="0"/>
              <w:spacing w:before="0" w:beforeAutospacing="0" w:after="0" w:afterAutospacing="0"/>
              <w:ind w:left="0" w:right="0"/>
              <w:rPr>
                <w:rFonts w:hint="eastAsia"/>
              </w:rPr>
            </w:pPr>
            <w:r>
              <w:rPr>
                <w:rFonts w:hint="eastAsia"/>
              </w:rPr>
              <w:t>临床化学检查</w:t>
            </w:r>
          </w:p>
        </w:tc>
        <w:tc>
          <w:tcPr>
            <w:tcW w:w="3015"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4</w:t>
            </w:r>
          </w:p>
        </w:tc>
        <w:tc>
          <w:tcPr>
            <w:tcW w:w="5670" w:type="dxa"/>
          </w:tcPr>
          <w:p>
            <w:pPr>
              <w:keepNext w:val="0"/>
              <w:keepLines w:val="0"/>
              <w:suppressLineNumbers w:val="0"/>
              <w:spacing w:before="0" w:beforeAutospacing="0" w:after="0" w:afterAutospacing="0"/>
              <w:ind w:left="0" w:right="0"/>
              <w:rPr>
                <w:rFonts w:hint="eastAsia"/>
              </w:rPr>
            </w:pPr>
            <w:r>
              <w:rPr>
                <w:rFonts w:hint="eastAsia"/>
              </w:rPr>
              <w:t>临床免疫学检查</w:t>
            </w:r>
          </w:p>
        </w:tc>
        <w:tc>
          <w:tcPr>
            <w:tcW w:w="3015"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5</w:t>
            </w:r>
          </w:p>
        </w:tc>
        <w:tc>
          <w:tcPr>
            <w:tcW w:w="5670" w:type="dxa"/>
          </w:tcPr>
          <w:p>
            <w:pPr>
              <w:keepNext w:val="0"/>
              <w:keepLines w:val="0"/>
              <w:suppressLineNumbers w:val="0"/>
              <w:spacing w:before="0" w:beforeAutospacing="0" w:after="0" w:afterAutospacing="0"/>
              <w:ind w:left="0" w:right="0"/>
              <w:rPr>
                <w:rFonts w:hint="eastAsia"/>
              </w:rPr>
            </w:pPr>
            <w:r>
              <w:rPr>
                <w:rFonts w:hint="eastAsia"/>
              </w:rPr>
              <w:t>临床微生物学检查</w:t>
            </w:r>
          </w:p>
        </w:tc>
        <w:tc>
          <w:tcPr>
            <w:tcW w:w="3015" w:type="dxa"/>
          </w:tcPr>
          <w:p>
            <w:pPr>
              <w:keepNext w:val="0"/>
              <w:keepLines w:val="0"/>
              <w:suppressLineNumbers w:val="0"/>
              <w:spacing w:before="0" w:beforeAutospacing="0" w:after="0" w:afterAutospacing="0"/>
              <w:ind w:left="0" w:right="0"/>
              <w:rPr>
                <w:rFonts w:hint="eastAsia"/>
              </w:rPr>
            </w:pPr>
          </w:p>
        </w:tc>
      </w:tr>
      <w:tr>
        <w:tblPrEx>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6</w:t>
            </w:r>
          </w:p>
        </w:tc>
        <w:tc>
          <w:tcPr>
            <w:tcW w:w="5670" w:type="dxa"/>
          </w:tcPr>
          <w:p>
            <w:pPr>
              <w:keepNext w:val="0"/>
              <w:keepLines w:val="0"/>
              <w:suppressLineNumbers w:val="0"/>
              <w:spacing w:before="0" w:beforeAutospacing="0" w:after="0" w:afterAutospacing="0"/>
              <w:ind w:left="0" w:right="0"/>
              <w:rPr>
                <w:rFonts w:hint="eastAsia"/>
              </w:rPr>
            </w:pPr>
            <w:r>
              <w:rPr>
                <w:rFonts w:hint="eastAsia"/>
              </w:rPr>
              <w:t>临床寄生虫学检查</w:t>
            </w:r>
          </w:p>
        </w:tc>
        <w:tc>
          <w:tcPr>
            <w:tcW w:w="3015"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7</w:t>
            </w:r>
          </w:p>
        </w:tc>
        <w:tc>
          <w:tcPr>
            <w:tcW w:w="5670" w:type="dxa"/>
          </w:tcPr>
          <w:p>
            <w:pPr>
              <w:keepNext w:val="0"/>
              <w:keepLines w:val="0"/>
              <w:suppressLineNumbers w:val="0"/>
              <w:spacing w:before="0" w:beforeAutospacing="0" w:after="0" w:afterAutospacing="0"/>
              <w:ind w:left="0" w:right="0"/>
              <w:rPr>
                <w:rFonts w:hint="eastAsia"/>
              </w:rPr>
            </w:pPr>
            <w:r>
              <w:rPr>
                <w:rFonts w:hint="eastAsia"/>
              </w:rPr>
              <w:t>分子生物学检查</w:t>
            </w:r>
          </w:p>
        </w:tc>
        <w:tc>
          <w:tcPr>
            <w:tcW w:w="3015" w:type="dxa"/>
          </w:tcPr>
          <w:p>
            <w:pPr>
              <w:keepNext w:val="0"/>
              <w:keepLines w:val="0"/>
              <w:suppressLineNumbers w:val="0"/>
              <w:spacing w:before="0" w:beforeAutospacing="0" w:after="0" w:afterAutospacing="0"/>
              <w:ind w:left="0" w:right="0"/>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4" w:type="dxa"/>
          </w:tcPr>
          <w:p>
            <w:pPr>
              <w:keepNext w:val="0"/>
              <w:keepLines w:val="0"/>
              <w:suppressLineNumbers w:val="0"/>
              <w:spacing w:before="0" w:beforeAutospacing="0" w:after="0" w:afterAutospacing="0"/>
              <w:ind w:left="0" w:right="0"/>
              <w:jc w:val="left"/>
              <w:rPr>
                <w:rFonts w:hint="eastAsia"/>
              </w:rPr>
            </w:pPr>
            <w:r>
              <w:rPr>
                <w:rFonts w:hint="eastAsia"/>
              </w:rPr>
              <w:t>99</w:t>
            </w:r>
          </w:p>
        </w:tc>
        <w:tc>
          <w:tcPr>
            <w:tcW w:w="5670" w:type="dxa"/>
          </w:tcPr>
          <w:p>
            <w:pPr>
              <w:keepNext w:val="0"/>
              <w:keepLines w:val="0"/>
              <w:suppressLineNumbers w:val="0"/>
              <w:spacing w:before="0" w:beforeAutospacing="0" w:after="0" w:afterAutospacing="0"/>
              <w:ind w:left="0" w:right="0"/>
              <w:rPr>
                <w:rFonts w:hint="eastAsia"/>
              </w:rPr>
            </w:pPr>
            <w:r>
              <w:rPr>
                <w:rFonts w:hint="eastAsia"/>
              </w:rPr>
              <w:t>其他</w:t>
            </w:r>
          </w:p>
        </w:tc>
        <w:tc>
          <w:tcPr>
            <w:tcW w:w="3015" w:type="dxa"/>
          </w:tcPr>
          <w:p>
            <w:pPr>
              <w:keepNext w:val="0"/>
              <w:keepLines w:val="0"/>
              <w:suppressLineNumbers w:val="0"/>
              <w:spacing w:before="0" w:beforeAutospacing="0" w:after="0" w:afterAutospacing="0"/>
              <w:ind w:left="0" w:right="0"/>
              <w:rPr>
                <w:rFonts w:hint="eastAsia"/>
              </w:rPr>
            </w:pPr>
          </w:p>
        </w:tc>
      </w:tr>
    </w:tbl>
    <w:p>
      <w:pPr>
        <w:jc w:val="left"/>
      </w:pPr>
    </w:p>
    <w:p>
      <w:pPr>
        <w:pStyle w:val="3"/>
        <w:numPr>
          <w:ilvl w:val="0"/>
          <w:numId w:val="3"/>
        </w:numPr>
        <w:spacing w:before="0" w:after="0" w:line="240" w:lineRule="auto"/>
        <w:jc w:val="left"/>
      </w:pPr>
      <w:r>
        <w:rPr>
          <w:rFonts w:hint="eastAsia"/>
        </w:rPr>
        <w:t>CT05.01.007输血性质代码表</w:t>
      </w:r>
    </w:p>
    <w:p>
      <w:bookmarkStart w:id="0" w:name="_GoBack"/>
      <w:r>
        <w:rPr>
          <w:rFonts w:hint="eastAsia"/>
          <w:b/>
          <w:bCs/>
        </w:rPr>
        <w:t>引用标准文号：</w:t>
      </w:r>
      <w:bookmarkEnd w:id="0"/>
      <w:r>
        <w:rPr>
          <w:rFonts w:hint="eastAsia"/>
        </w:rPr>
        <w:t>临床输血技术规范</w:t>
      </w:r>
    </w:p>
    <w:p>
      <w:r>
        <w:rPr>
          <w:rFonts w:hint="eastAsia"/>
        </w:rPr>
        <w:t>说明：无</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4671"/>
      </w:tblGrid>
      <w:tr>
        <w:tblPrEx>
          <w:tblLayout w:type="fixed"/>
          <w:tblCellMar>
            <w:top w:w="0" w:type="dxa"/>
            <w:left w:w="108" w:type="dxa"/>
            <w:bottom w:w="0" w:type="dxa"/>
            <w:right w:w="108" w:type="dxa"/>
          </w:tblCellMar>
        </w:tblPrEx>
        <w:tc>
          <w:tcPr>
            <w:tcW w:w="1838"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值</w:t>
            </w:r>
          </w:p>
        </w:tc>
        <w:tc>
          <w:tcPr>
            <w:tcW w:w="3119"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值含义</w:t>
            </w:r>
          </w:p>
        </w:tc>
        <w:tc>
          <w:tcPr>
            <w:tcW w:w="4671"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1</w:t>
            </w:r>
          </w:p>
        </w:tc>
        <w:tc>
          <w:tcPr>
            <w:tcW w:w="3119"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常规</w:t>
            </w:r>
          </w:p>
        </w:tc>
        <w:tc>
          <w:tcPr>
            <w:tcW w:w="4671"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w:t>
            </w:r>
          </w:p>
        </w:tc>
        <w:tc>
          <w:tcPr>
            <w:tcW w:w="3119"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紧急</w:t>
            </w:r>
          </w:p>
        </w:tc>
        <w:tc>
          <w:tcPr>
            <w:tcW w:w="4671" w:type="dxa"/>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w:t>
            </w:r>
          </w:p>
        </w:tc>
        <w:tc>
          <w:tcPr>
            <w:tcW w:w="3119"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大量</w:t>
            </w:r>
          </w:p>
        </w:tc>
        <w:tc>
          <w:tcPr>
            <w:tcW w:w="4671"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4</w:t>
            </w:r>
          </w:p>
        </w:tc>
        <w:tc>
          <w:tcPr>
            <w:tcW w:w="3119"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特殊供血者</w:t>
            </w:r>
          </w:p>
        </w:tc>
        <w:tc>
          <w:tcPr>
            <w:tcW w:w="4671" w:type="dxa"/>
            <w:vAlign w:val="center"/>
          </w:tcPr>
          <w:p>
            <w:pPr>
              <w:keepNext w:val="0"/>
              <w:keepLines w:val="0"/>
              <w:suppressLineNumbers w:val="0"/>
              <w:spacing w:before="0" w:beforeAutospacing="0" w:after="0" w:afterAutospacing="0"/>
              <w:ind w:left="0" w:right="0"/>
              <w:rPr>
                <w:rFonts w:hint="eastAsia"/>
                <w:sz w:val="21"/>
                <w:szCs w:val="21"/>
              </w:rPr>
            </w:pPr>
          </w:p>
        </w:tc>
      </w:tr>
    </w:tbl>
    <w:p>
      <w:pPr>
        <w:pStyle w:val="3"/>
        <w:numPr>
          <w:ilvl w:val="0"/>
          <w:numId w:val="3"/>
        </w:numPr>
        <w:spacing w:before="0" w:after="0" w:line="240" w:lineRule="auto"/>
        <w:jc w:val="left"/>
      </w:pPr>
      <w:r>
        <w:rPr>
          <w:rFonts w:hint="eastAsia"/>
        </w:rPr>
        <w:t>CT05.10.012麻醉分级代码</w:t>
      </w:r>
    </w:p>
    <w:p>
      <w:r>
        <w:rPr>
          <w:rFonts w:hint="eastAsia"/>
        </w:rPr>
        <w:t>引用标准文号：国卫办规划函〔2019〕380号</w:t>
      </w:r>
    </w:p>
    <w:p>
      <w:r>
        <w:rPr>
          <w:rFonts w:hint="eastAsia"/>
        </w:rPr>
        <w:t>说明：无</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4678"/>
        <w:gridCol w:w="3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值</w:t>
            </w:r>
          </w:p>
        </w:tc>
        <w:tc>
          <w:tcPr>
            <w:tcW w:w="4678"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值含义</w:t>
            </w:r>
          </w:p>
        </w:tc>
        <w:tc>
          <w:tcPr>
            <w:tcW w:w="3112"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1</w:t>
            </w:r>
          </w:p>
        </w:tc>
        <w:tc>
          <w:tcPr>
            <w:tcW w:w="467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正常的患者</w:t>
            </w:r>
          </w:p>
        </w:tc>
        <w:tc>
          <w:tcPr>
            <w:tcW w:w="3112"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w:t>
            </w:r>
          </w:p>
        </w:tc>
        <w:tc>
          <w:tcPr>
            <w:tcW w:w="467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患者有轻微的临床症状</w:t>
            </w:r>
          </w:p>
        </w:tc>
        <w:tc>
          <w:tcPr>
            <w:tcW w:w="3112" w:type="dxa"/>
            <w:vAlign w:val="center"/>
          </w:tcPr>
          <w:p>
            <w:pPr>
              <w:keepNext w:val="0"/>
              <w:keepLines w:val="0"/>
              <w:suppressLineNumbers w:val="0"/>
              <w:spacing w:before="0" w:beforeAutospacing="0" w:after="0" w:afterAutospacing="0"/>
              <w:ind w:left="0" w:right="0"/>
              <w:rPr>
                <w:rFonts w:hint="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3</w:t>
            </w:r>
          </w:p>
        </w:tc>
        <w:tc>
          <w:tcPr>
            <w:tcW w:w="467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患者有明显的系统临床症状</w:t>
            </w:r>
          </w:p>
        </w:tc>
        <w:tc>
          <w:tcPr>
            <w:tcW w:w="3112"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4</w:t>
            </w:r>
          </w:p>
        </w:tc>
        <w:tc>
          <w:tcPr>
            <w:tcW w:w="467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患者有明显的系统临床症状，且危及生命</w:t>
            </w:r>
          </w:p>
        </w:tc>
        <w:tc>
          <w:tcPr>
            <w:tcW w:w="3112"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5</w:t>
            </w:r>
          </w:p>
        </w:tc>
        <w:tc>
          <w:tcPr>
            <w:tcW w:w="467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如果不手术患者将不能存活</w:t>
            </w:r>
          </w:p>
        </w:tc>
        <w:tc>
          <w:tcPr>
            <w:tcW w:w="3112"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6</w:t>
            </w:r>
          </w:p>
        </w:tc>
        <w:tc>
          <w:tcPr>
            <w:tcW w:w="467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脑死亡的患者</w:t>
            </w:r>
          </w:p>
        </w:tc>
        <w:tc>
          <w:tcPr>
            <w:tcW w:w="3112" w:type="dxa"/>
            <w:vAlign w:val="center"/>
          </w:tcPr>
          <w:p>
            <w:pPr>
              <w:keepNext w:val="0"/>
              <w:keepLines w:val="0"/>
              <w:suppressLineNumbers w:val="0"/>
              <w:spacing w:before="0" w:beforeAutospacing="0" w:after="0" w:afterAutospacing="0"/>
              <w:ind w:left="0" w:right="0"/>
              <w:rPr>
                <w:rFonts w:hint="eastAsia"/>
                <w:sz w:val="21"/>
                <w:szCs w:val="21"/>
              </w:rPr>
            </w:pPr>
          </w:p>
        </w:tc>
      </w:tr>
    </w:tbl>
    <w:p>
      <w:pPr>
        <w:jc w:val="left"/>
      </w:pPr>
    </w:p>
    <w:p>
      <w:pPr>
        <w:pStyle w:val="3"/>
        <w:numPr>
          <w:ilvl w:val="0"/>
          <w:numId w:val="3"/>
        </w:numPr>
        <w:spacing w:before="0" w:after="0" w:line="360" w:lineRule="auto"/>
        <w:jc w:val="left"/>
      </w:pPr>
      <w:r>
        <w:t>HACV02.01.101 身份证件类别代码表</w:t>
      </w:r>
    </w:p>
    <w:p>
      <w:pPr>
        <w:jc w:val="left"/>
        <w:rPr>
          <w:b/>
        </w:rPr>
      </w:pPr>
      <w:r>
        <w:rPr>
          <w:rFonts w:hint="eastAsia"/>
          <w:b/>
        </w:rPr>
        <w:t>引用标准文号：</w:t>
      </w:r>
      <w:r>
        <w:rPr>
          <w:b/>
        </w:rPr>
        <w:t>WS 364.3-2011，CV02.01.101 身份证件类别代码表。</w:t>
      </w:r>
    </w:p>
    <w:p>
      <w:pPr>
        <w:jc w:val="left"/>
      </w:pPr>
      <w:r>
        <w:rPr>
          <w:rFonts w:hint="eastAsia"/>
          <w:b/>
          <w:bCs/>
        </w:rPr>
        <w:t>说明：</w:t>
      </w:r>
      <w:r>
        <w:rPr>
          <w:rFonts w:hint="eastAsia"/>
        </w:rPr>
        <w:t>增加了</w:t>
      </w:r>
      <w:r>
        <w:t>“0</w:t>
      </w:r>
      <w:r>
        <w:rPr>
          <w:rFonts w:hint="eastAsia"/>
        </w:rPr>
        <w:t>8</w:t>
      </w:r>
      <w:r>
        <w:t>、中国人民解放军军人身份证件， 0</w:t>
      </w:r>
      <w:r>
        <w:rPr>
          <w:rFonts w:hint="eastAsia"/>
        </w:rPr>
        <w:t>9</w:t>
      </w:r>
      <w:r>
        <w:t>、中国人民武装警察身份证件”。</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3763"/>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76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4666"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居民身份证</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户口薄</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护照</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军官证</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驾驶证</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港澳居民来往内地通行证</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台湾居民来往内地通行证</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中国人民解放军军人身份证件</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中国人民武装警察身份证件</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376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其他有效证件</w:t>
            </w:r>
          </w:p>
        </w:tc>
        <w:tc>
          <w:tcPr>
            <w:tcW w:w="466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HACV02.01.202 传染病患者职业代码表</w:t>
      </w:r>
    </w:p>
    <w:p>
      <w:pPr>
        <w:jc w:val="left"/>
        <w:rPr>
          <w:b/>
        </w:rPr>
      </w:pPr>
      <w:r>
        <w:rPr>
          <w:rFonts w:hint="eastAsia"/>
          <w:b/>
        </w:rPr>
        <w:t>引用标准文号：</w:t>
      </w:r>
      <w:r>
        <w:rPr>
          <w:b/>
        </w:rPr>
        <w:t>WS 364.3-2011，CV02.01.202 传染病患者职业代码表</w:t>
      </w:r>
    </w:p>
    <w:p>
      <w:pPr>
        <w:jc w:val="left"/>
      </w:pPr>
      <w:r>
        <w:rPr>
          <w:rFonts w:hint="eastAsia"/>
        </w:rPr>
        <w:t>说明：</w:t>
      </w:r>
      <w:r>
        <w:rPr>
          <w:rFonts w:hint="eastAsia" w:ascii="等线" w:hAnsi="等线" w:eastAsia="等线" w:cs="Times New Roman"/>
          <w:lang w:bidi="ar"/>
        </w:rPr>
        <w:t>同国家传染病网络直报系统一致，</w:t>
      </w:r>
      <w:r>
        <w:rPr>
          <w:rFonts w:hint="eastAsia" w:eastAsia="等线" w:cs="Times New Roman"/>
          <w:lang w:bidi="ar"/>
        </w:rPr>
        <w:t>在CV02.01.202</w:t>
      </w:r>
      <w:r>
        <w:rPr>
          <w:rFonts w:hint="eastAsia" w:ascii="等线" w:hAnsi="等线" w:eastAsia="等线" w:cs="Times New Roman"/>
          <w:lang w:bidi="ar"/>
        </w:rPr>
        <w:t>传染病患者职业代码基础上略有扩展，但编码有所不同。</w:t>
      </w:r>
      <w:r>
        <w:rPr>
          <w:rFonts w:cs="宋体"/>
          <w:szCs w:val="24"/>
        </w:rPr>
        <w:t xml:space="preserve"> </w:t>
      </w:r>
    </w:p>
    <w:tbl>
      <w:tblPr>
        <w:tblStyle w:val="10"/>
        <w:tblW w:w="8318"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6"/>
        <w:gridCol w:w="3458"/>
        <w:gridCol w:w="305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806" w:type="dxa"/>
            <w:tcBorders>
              <w:top w:val="single" w:color="auto" w:sz="12" w:space="0"/>
              <w:bottom w:val="single" w:color="auto" w:sz="12" w:space="0"/>
            </w:tcBorders>
            <w:vAlign w:val="center"/>
          </w:tcPr>
          <w:p>
            <w:pPr>
              <w:keepNext w:val="0"/>
              <w:keepLines w:val="0"/>
              <w:suppressLineNumbers w:val="0"/>
              <w:spacing w:before="0" w:beforeAutospacing="0" w:after="0" w:afterAutospacing="0"/>
              <w:ind w:left="0" w:right="0"/>
              <w:jc w:val="center"/>
              <w:rPr>
                <w:rFonts w:hint="eastAsia"/>
                <w:b/>
                <w:color w:val="0D0D0D"/>
                <w:sz w:val="21"/>
                <w:szCs w:val="21"/>
              </w:rPr>
            </w:pPr>
            <w:r>
              <w:rPr>
                <w:rFonts w:hint="eastAsia"/>
                <w:b/>
                <w:color w:val="0D0D0D"/>
                <w:sz w:val="21"/>
                <w:szCs w:val="21"/>
              </w:rPr>
              <w:t>值</w:t>
            </w:r>
          </w:p>
        </w:tc>
        <w:tc>
          <w:tcPr>
            <w:tcW w:w="3458" w:type="dxa"/>
            <w:tcBorders>
              <w:top w:val="single" w:color="auto" w:sz="12" w:space="0"/>
              <w:bottom w:val="single" w:color="auto" w:sz="12"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b/>
                <w:color w:val="0D0D0D"/>
                <w:sz w:val="21"/>
                <w:szCs w:val="21"/>
              </w:rPr>
            </w:pPr>
            <w:r>
              <w:rPr>
                <w:rFonts w:hint="eastAsia"/>
                <w:b/>
                <w:color w:val="0D0D0D"/>
                <w:sz w:val="21"/>
                <w:szCs w:val="21"/>
              </w:rPr>
              <w:t>值含义</w:t>
            </w:r>
          </w:p>
        </w:tc>
        <w:tc>
          <w:tcPr>
            <w:tcW w:w="3054" w:type="dxa"/>
            <w:tcBorders>
              <w:top w:val="single" w:color="auto" w:sz="12" w:space="0"/>
              <w:left w:val="single" w:color="auto" w:sz="4" w:space="0"/>
              <w:bottom w:val="single" w:color="auto" w:sz="12" w:space="0"/>
            </w:tcBorders>
            <w:vAlign w:val="center"/>
          </w:tcPr>
          <w:p>
            <w:pPr>
              <w:keepNext w:val="0"/>
              <w:keepLines w:val="0"/>
              <w:suppressLineNumbers w:val="0"/>
              <w:spacing w:before="0" w:beforeAutospacing="0" w:after="0" w:afterAutospacing="0"/>
              <w:ind w:left="0" w:right="0"/>
              <w:jc w:val="center"/>
              <w:rPr>
                <w:rFonts w:hint="eastAsia"/>
                <w:b/>
                <w:color w:val="0D0D0D"/>
                <w:sz w:val="21"/>
                <w:szCs w:val="21"/>
              </w:rPr>
            </w:pPr>
            <w:r>
              <w:rPr>
                <w:rFonts w:hint="eastAsia"/>
                <w:b/>
                <w:color w:val="0D0D0D"/>
                <w:sz w:val="21"/>
                <w:szCs w:val="21"/>
              </w:rPr>
              <w:t>传染病网络直报编码</w:t>
            </w:r>
          </w:p>
        </w:tc>
      </w:tr>
      <w:tr>
        <w:tblPrEx>
          <w:tblLayout w:type="fixed"/>
          <w:tblCellMar>
            <w:top w:w="0" w:type="dxa"/>
            <w:left w:w="108" w:type="dxa"/>
            <w:bottom w:w="0" w:type="dxa"/>
            <w:right w:w="108" w:type="dxa"/>
          </w:tblCellMar>
        </w:tblPrEx>
        <w:trPr>
          <w:trHeight w:val="454" w:hRule="atLeast"/>
        </w:trPr>
        <w:tc>
          <w:tcPr>
            <w:tcW w:w="1806" w:type="dxa"/>
            <w:tcBorders>
              <w:top w:val="single" w:color="auto" w:sz="12" w:space="0"/>
            </w:tcBorders>
            <w:vAlign w:val="center"/>
          </w:tcPr>
          <w:p>
            <w:pPr>
              <w:keepNext w:val="0"/>
              <w:keepLines w:val="0"/>
              <w:suppressLineNumbers w:val="0"/>
              <w:spacing w:before="0" w:beforeAutospacing="0" w:after="0" w:afterAutospacing="0"/>
              <w:ind w:left="0" w:right="0"/>
              <w:jc w:val="center"/>
              <w:rPr>
                <w:rFonts w:hint="eastAsia"/>
                <w:color w:val="0D0D0D"/>
                <w:sz w:val="21"/>
                <w:szCs w:val="21"/>
              </w:rPr>
            </w:pPr>
            <w:r>
              <w:rPr>
                <w:rFonts w:hint="eastAsia"/>
                <w:color w:val="0D0D0D"/>
                <w:sz w:val="21"/>
                <w:szCs w:val="21"/>
              </w:rPr>
              <w:t>01</w:t>
            </w:r>
          </w:p>
        </w:tc>
        <w:tc>
          <w:tcPr>
            <w:tcW w:w="3458" w:type="dxa"/>
            <w:tcBorders>
              <w:top w:val="single" w:color="auto" w:sz="12" w:space="0"/>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幼托儿童</w:t>
            </w:r>
          </w:p>
        </w:tc>
        <w:tc>
          <w:tcPr>
            <w:tcW w:w="3054" w:type="dxa"/>
            <w:tcBorders>
              <w:top w:val="single" w:color="auto" w:sz="12" w:space="0"/>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1</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0D0D0D"/>
                <w:sz w:val="21"/>
                <w:szCs w:val="21"/>
              </w:rPr>
            </w:pPr>
            <w:r>
              <w:rPr>
                <w:rFonts w:hint="eastAsia"/>
                <w:color w:val="0D0D0D"/>
                <w:sz w:val="21"/>
                <w:szCs w:val="21"/>
              </w:rPr>
              <w:t>02</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散居儿童</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0D0D0D"/>
                <w:sz w:val="21"/>
                <w:szCs w:val="21"/>
              </w:rPr>
            </w:pPr>
            <w:r>
              <w:rPr>
                <w:rFonts w:hint="eastAsia"/>
                <w:color w:val="0D0D0D"/>
                <w:sz w:val="21"/>
                <w:szCs w:val="21"/>
              </w:rPr>
              <w:t>03</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学生（大中小学）</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3</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0D0D0D"/>
                <w:sz w:val="21"/>
                <w:szCs w:val="21"/>
              </w:rPr>
            </w:pPr>
            <w:r>
              <w:rPr>
                <w:rFonts w:hint="eastAsia"/>
                <w:color w:val="0D0D0D"/>
                <w:sz w:val="21"/>
                <w:szCs w:val="21"/>
              </w:rPr>
              <w:t>04</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教师</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4</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0D0D0D"/>
                <w:sz w:val="21"/>
                <w:szCs w:val="21"/>
              </w:rPr>
            </w:pPr>
            <w:r>
              <w:rPr>
                <w:rFonts w:hint="eastAsia"/>
                <w:color w:val="0D0D0D"/>
                <w:sz w:val="21"/>
                <w:szCs w:val="21"/>
              </w:rPr>
              <w:t>05</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保育员及保姆</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5</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0D0D0D"/>
                <w:sz w:val="21"/>
                <w:szCs w:val="21"/>
              </w:rPr>
            </w:pPr>
            <w:r>
              <w:rPr>
                <w:rFonts w:hint="eastAsia"/>
                <w:color w:val="0D0D0D"/>
                <w:sz w:val="21"/>
                <w:szCs w:val="21"/>
              </w:rPr>
              <w:t>06</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餐饮食品业</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6</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07</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FF0000"/>
                <w:sz w:val="21"/>
                <w:szCs w:val="21"/>
              </w:rPr>
            </w:pPr>
            <w:r>
              <w:rPr>
                <w:rFonts w:hint="eastAsia"/>
                <w:color w:val="FF0000"/>
                <w:sz w:val="21"/>
                <w:szCs w:val="21"/>
              </w:rPr>
              <w:t>公共场所服务员</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color w:val="000000"/>
                <w:spacing w:val="-12"/>
                <w:kern w:val="0"/>
                <w:sz w:val="21"/>
                <w:szCs w:val="21"/>
              </w:rPr>
            </w:pPr>
            <w:r>
              <w:rPr>
                <w:rFonts w:hint="eastAsia" w:cs="宋体"/>
                <w:snapToGrid w:val="0"/>
                <w:color w:val="000000"/>
                <w:spacing w:val="-12"/>
                <w:kern w:val="0"/>
                <w:sz w:val="21"/>
                <w:szCs w:val="21"/>
                <w:lang w:bidi="ar"/>
              </w:rPr>
              <w:t>7</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08</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商业食品业</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8</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09</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医务人员</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9</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16</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工人</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16</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17</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民工</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17</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18</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农民</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18</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19</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牧民</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19</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20</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渔船民</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20</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21</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FF0000"/>
                <w:sz w:val="21"/>
                <w:szCs w:val="21"/>
              </w:rPr>
            </w:pPr>
            <w:r>
              <w:rPr>
                <w:rFonts w:hint="eastAsia"/>
                <w:color w:val="FF0000"/>
                <w:sz w:val="21"/>
                <w:szCs w:val="21"/>
              </w:rPr>
              <w:t>海员及长途驾驶员</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color w:val="000000"/>
                <w:spacing w:val="-12"/>
                <w:kern w:val="0"/>
                <w:sz w:val="21"/>
                <w:szCs w:val="21"/>
              </w:rPr>
            </w:pPr>
            <w:r>
              <w:rPr>
                <w:rFonts w:hint="eastAsia" w:cs="宋体"/>
                <w:snapToGrid w:val="0"/>
                <w:color w:val="000000"/>
                <w:spacing w:val="-12"/>
                <w:kern w:val="0"/>
                <w:sz w:val="21"/>
                <w:szCs w:val="21"/>
                <w:lang w:bidi="ar"/>
              </w:rPr>
              <w:t>21</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22</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干部职员</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22</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23</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离退人员</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23</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24</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0D0D0D"/>
                <w:sz w:val="21"/>
                <w:szCs w:val="21"/>
              </w:rPr>
            </w:pPr>
            <w:r>
              <w:rPr>
                <w:rFonts w:hint="eastAsia"/>
                <w:color w:val="0D0D0D"/>
                <w:sz w:val="21"/>
                <w:szCs w:val="21"/>
              </w:rPr>
              <w:t>家务及待业</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24</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28</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FF0000"/>
                <w:sz w:val="21"/>
                <w:szCs w:val="21"/>
              </w:rPr>
            </w:pPr>
            <w:r>
              <w:rPr>
                <w:rFonts w:hint="eastAsia"/>
                <w:color w:val="FF0000"/>
                <w:sz w:val="21"/>
                <w:szCs w:val="21"/>
              </w:rPr>
              <w:t>其他</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28</w:t>
            </w:r>
          </w:p>
        </w:tc>
      </w:tr>
      <w:tr>
        <w:tblPrEx>
          <w:tblLayout w:type="fixed"/>
          <w:tblCellMar>
            <w:top w:w="0" w:type="dxa"/>
            <w:left w:w="108" w:type="dxa"/>
            <w:bottom w:w="0" w:type="dxa"/>
            <w:right w:w="108" w:type="dxa"/>
          </w:tblCellMar>
        </w:tblPrEx>
        <w:trPr>
          <w:trHeight w:val="454" w:hRule="atLeast"/>
        </w:trPr>
        <w:tc>
          <w:tcPr>
            <w:tcW w:w="1806" w:type="dxa"/>
            <w:vAlign w:val="center"/>
          </w:tcPr>
          <w:p>
            <w:pPr>
              <w:keepNext w:val="0"/>
              <w:keepLines w:val="0"/>
              <w:suppressLineNumbers w:val="0"/>
              <w:spacing w:before="0" w:beforeAutospacing="0" w:after="0" w:afterAutospacing="0"/>
              <w:ind w:left="0" w:right="0"/>
              <w:jc w:val="center"/>
              <w:rPr>
                <w:rFonts w:hint="eastAsia"/>
                <w:color w:val="FF0000"/>
                <w:sz w:val="21"/>
                <w:szCs w:val="21"/>
              </w:rPr>
            </w:pPr>
            <w:r>
              <w:rPr>
                <w:rFonts w:hint="eastAsia"/>
                <w:color w:val="FF0000"/>
                <w:sz w:val="21"/>
                <w:szCs w:val="21"/>
              </w:rPr>
              <w:t>29</w:t>
            </w:r>
          </w:p>
        </w:tc>
        <w:tc>
          <w:tcPr>
            <w:tcW w:w="3458" w:type="dxa"/>
            <w:tcBorders>
              <w:right w:val="single" w:color="auto" w:sz="4" w:space="0"/>
            </w:tcBorders>
            <w:vAlign w:val="center"/>
          </w:tcPr>
          <w:p>
            <w:pPr>
              <w:keepNext w:val="0"/>
              <w:keepLines w:val="0"/>
              <w:suppressLineNumbers w:val="0"/>
              <w:spacing w:before="0" w:beforeAutospacing="0" w:after="0" w:afterAutospacing="0"/>
              <w:ind w:left="0" w:right="0"/>
              <w:rPr>
                <w:rFonts w:hint="eastAsia"/>
                <w:color w:val="FF0000"/>
                <w:sz w:val="21"/>
                <w:szCs w:val="21"/>
              </w:rPr>
            </w:pPr>
            <w:r>
              <w:rPr>
                <w:rFonts w:hint="eastAsia"/>
                <w:color w:val="FF0000"/>
                <w:sz w:val="21"/>
                <w:szCs w:val="21"/>
              </w:rPr>
              <w:t>不详</w:t>
            </w:r>
          </w:p>
        </w:tc>
        <w:tc>
          <w:tcPr>
            <w:tcW w:w="305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cs="宋体"/>
                <w:snapToGrid w:val="0"/>
                <w:spacing w:val="-12"/>
                <w:kern w:val="0"/>
                <w:sz w:val="21"/>
                <w:szCs w:val="21"/>
              </w:rPr>
            </w:pPr>
            <w:r>
              <w:rPr>
                <w:rFonts w:hint="eastAsia" w:cs="宋体"/>
                <w:snapToGrid w:val="0"/>
                <w:spacing w:val="-12"/>
                <w:kern w:val="0"/>
                <w:sz w:val="21"/>
                <w:szCs w:val="21"/>
                <w:lang w:bidi="ar"/>
              </w:rPr>
              <w:t>29</w:t>
            </w:r>
          </w:p>
        </w:tc>
      </w:tr>
    </w:tbl>
    <w:p>
      <w:pPr>
        <w:jc w:val="left"/>
      </w:pPr>
    </w:p>
    <w:p>
      <w:pPr>
        <w:pStyle w:val="3"/>
        <w:numPr>
          <w:ilvl w:val="0"/>
          <w:numId w:val="3"/>
        </w:numPr>
        <w:spacing w:before="0" w:after="0" w:line="360" w:lineRule="auto"/>
        <w:jc w:val="left"/>
      </w:pPr>
      <w:r>
        <w:t>HACV03.00.107 饮食习惯代码表</w:t>
      </w:r>
    </w:p>
    <w:p>
      <w:pPr>
        <w:jc w:val="left"/>
        <w:rPr>
          <w:b/>
        </w:rPr>
      </w:pPr>
      <w:r>
        <w:rPr>
          <w:rFonts w:hint="eastAsia"/>
          <w:b/>
        </w:rPr>
        <w:t>引用标准文号：</w:t>
      </w:r>
      <w:r>
        <w:rPr>
          <w:b/>
        </w:rPr>
        <w:t>WS 364.5-2011,CV03.00.107饮食习惯代码表。</w:t>
      </w:r>
    </w:p>
    <w:p>
      <w:pPr>
        <w:jc w:val="left"/>
        <w:rPr>
          <w:b/>
        </w:rPr>
      </w:pPr>
      <w:r>
        <w:rPr>
          <w:b/>
        </w:rPr>
        <w:t>说明：仅采用</w:t>
      </w:r>
      <w:r>
        <w:rPr>
          <w:rFonts w:hint="eastAsia" w:cs="Times New Roman"/>
          <w:bCs/>
          <w:szCs w:val="24"/>
          <w:lang w:bidi="ar"/>
        </w:rPr>
        <w:t>（CV03.00.107）中的部分饮食习惯</w:t>
      </w:r>
      <w:r>
        <w:rPr>
          <w:rFonts w:cs="Times New Roman"/>
          <w:bCs/>
          <w:szCs w:val="24"/>
          <w:lang w:bidi="ar"/>
        </w:rPr>
        <w:t>代码</w:t>
      </w:r>
      <w:r>
        <w:rPr>
          <w:rFonts w:hint="eastAsia" w:cs="Times New Roman"/>
          <w:bCs/>
          <w:szCs w:val="24"/>
          <w:lang w:bidi="ar"/>
        </w:rPr>
        <w:t>（没有把饮食嗜好放也放在内。因为饮食习惯与饮食嗜好是二个不同概念，饮食习惯是单选，而饮食嗜好是多选。）</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荤素均衡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荤食为主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素食为主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HACV04.50.005 ABO血型代码表</w:t>
      </w:r>
    </w:p>
    <w:p>
      <w:pPr>
        <w:jc w:val="left"/>
        <w:rPr>
          <w:b/>
        </w:rPr>
      </w:pPr>
      <w:r>
        <w:rPr>
          <w:rFonts w:hint="eastAsia"/>
          <w:b/>
        </w:rPr>
        <w:t>引用标准文号：</w:t>
      </w:r>
      <w:r>
        <w:rPr>
          <w:b/>
        </w:rPr>
        <w:t>WS 364.9-2011，</w:t>
      </w:r>
      <w:r>
        <w:t>CV04.50.005 ABO血型代码表。</w:t>
      </w:r>
    </w:p>
    <w:p>
      <w:pPr>
        <w:jc w:val="left"/>
      </w:pPr>
      <w:r>
        <w:rPr>
          <w:rFonts w:hint="eastAsia"/>
        </w:rPr>
        <w:t>说明：</w:t>
      </w:r>
      <w: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B型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AB型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line="360" w:lineRule="auto"/>
        <w:jc w:val="left"/>
      </w:pPr>
      <w:r>
        <w:t xml:space="preserve">HACV04.50.021 </w:t>
      </w:r>
      <w:r>
        <w:rPr>
          <w:rFonts w:hint="eastAsia"/>
          <w:b w:val="0"/>
          <w:bCs w:val="0"/>
        </w:rPr>
        <w:t>输血品种代码表</w:t>
      </w:r>
    </w:p>
    <w:p>
      <w:pPr>
        <w:jc w:val="left"/>
        <w:rPr>
          <w:b/>
        </w:rPr>
      </w:pPr>
      <w:r>
        <w:rPr>
          <w:rFonts w:hint="eastAsia" w:cs="Times New Roman"/>
          <w:b/>
          <w:lang w:bidi="ar"/>
        </w:rPr>
        <w:t>引用标准文号：</w:t>
      </w:r>
      <w:r>
        <w:rPr>
          <w:rFonts w:hint="eastAsia" w:cs="Times New Roman"/>
          <w:szCs w:val="24"/>
          <w:lang w:bidi="ar"/>
        </w:rPr>
        <w:t>WS 445.5-2014</w:t>
      </w:r>
      <w:r>
        <w:rPr>
          <w:rFonts w:cs="Times New Roman"/>
          <w:szCs w:val="24"/>
          <w:lang w:bidi="ar"/>
        </w:rPr>
        <w:t>，</w:t>
      </w:r>
      <w:r>
        <w:t>CV04.50.021 输血品种代码表</w:t>
      </w:r>
    </w:p>
    <w:p>
      <w:pPr>
        <w:jc w:val="left"/>
      </w:pPr>
      <w:r>
        <w:rPr>
          <w:rFonts w:hint="eastAsia" w:cs="Times New Roman"/>
          <w:lang w:bidi="ar"/>
        </w:rPr>
        <w:t>说明：</w:t>
      </w:r>
      <w:r>
        <w:rPr>
          <w:rFonts w:cs="Times New Roman"/>
          <w:lang w:bidi="ar"/>
        </w:rPr>
        <w:t>新增部分项目。</w:t>
      </w:r>
    </w:p>
    <w:tbl>
      <w:tblPr>
        <w:tblStyle w:val="10"/>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3413"/>
        <w:gridCol w:w="5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cs="Times New Roman"/>
                <w:b/>
                <w:sz w:val="21"/>
                <w:lang w:bidi="ar"/>
              </w:rPr>
              <w:t>值</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cs="Times New Roman"/>
                <w:b/>
                <w:sz w:val="21"/>
                <w:lang w:bidi="ar"/>
              </w:rPr>
              <w:t>值含义</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cs="Times New Roman"/>
                <w:b/>
                <w:sz w:val="21"/>
                <w:lang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11</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浓缩红细胞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12</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13</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红细胞悬液</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14</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洗涤红细胞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15</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冰冻红细胞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16</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冰冻解冻去甘油红细胞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17</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Rh阴性悬浮红细胞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18</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去白细胞悬浮红细胞</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19</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滤白冰冻红细胞RH（-）</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2</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全血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21</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滤白全血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22</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重组全血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23</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Rh阴性全血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24</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去白细胞全血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31</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手工分离浓缩血小板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32</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机采血小板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33</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滤白机采血小板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34</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冷冻机采血小板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35</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去白细胞单采血小板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36</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冰冻去白单采血小板</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41</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新鲜液体血浆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42</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新鲜冰冻血浆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43</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普通冰冻血浆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44</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滤白病毒灭活冰冻血浆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45</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滤白新鲜冰冻血浆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46</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滤白普通冰冻血浆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47</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病毒灭活冰冻血浆</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5</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冷沉淀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51</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滤白冷沉淀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52</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冷沉淀凝血因子</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6</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机采浓缩白细胞悬液</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7</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自体血</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9</w:t>
            </w:r>
          </w:p>
        </w:tc>
        <w:tc>
          <w:tcPr>
            <w:tcW w:w="34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cs="Times New Roman"/>
                <w:sz w:val="21"/>
                <w:lang w:bidi="ar"/>
              </w:rPr>
              <w:t>其他</w:t>
            </w:r>
          </w:p>
        </w:tc>
        <w:tc>
          <w:tcPr>
            <w:tcW w:w="521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HACV05.10.024 手术级别代码表</w:t>
      </w:r>
    </w:p>
    <w:p>
      <w:pPr>
        <w:jc w:val="left"/>
        <w:rPr>
          <w:b/>
        </w:rPr>
      </w:pPr>
      <w:r>
        <w:rPr>
          <w:rFonts w:hint="eastAsia"/>
          <w:b/>
        </w:rPr>
        <w:t>引用标准文号：</w:t>
      </w:r>
      <w:r>
        <w:rPr>
          <w:b/>
        </w:rPr>
        <w:t>WS 445.5-2014，CV05.10.024 手术级别代码表。</w:t>
      </w:r>
    </w:p>
    <w:p>
      <w:pPr>
        <w:jc w:val="left"/>
      </w:pPr>
      <w:r>
        <w:rPr>
          <w:rFonts w:hint="eastAsia"/>
        </w:rPr>
        <w:t>说明：增加代码</w:t>
      </w:r>
      <w:r>
        <w:rPr>
          <w:rFonts w:hint="cs"/>
        </w:rPr>
        <w:t>“</w:t>
      </w:r>
      <w:r>
        <w:t>0:</w:t>
      </w:r>
      <w:r>
        <w:rPr>
          <w:rFonts w:hint="eastAsia"/>
        </w:rPr>
        <w:t>操作</w:t>
      </w:r>
      <w:r>
        <w:rPr>
          <w:rFonts w:hint="cs"/>
        </w:rPr>
        <w:t>”</w:t>
      </w:r>
      <w:r>
        <w:t>。对于代码0的具体用途需要确认，再决定是否需要增加。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操作</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增加（含诊断性操作和治疗性操作）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一级手术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指风险低、过程简单、技术难度低的普通手术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二级手术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指有一定风险、过程复杂程度一般、有一定技术难度的手术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三级手术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指风险较高、过程较复杂、难度较大的手术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四级手术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指风险高、过程复杂、难度大的重大手术</w:t>
            </w:r>
          </w:p>
        </w:tc>
      </w:tr>
    </w:tbl>
    <w:p>
      <w:pPr>
        <w:jc w:val="left"/>
      </w:pPr>
    </w:p>
    <w:p>
      <w:pPr>
        <w:pStyle w:val="3"/>
        <w:numPr>
          <w:ilvl w:val="0"/>
          <w:numId w:val="3"/>
        </w:numPr>
        <w:spacing w:before="0" w:after="0" w:line="360" w:lineRule="auto"/>
        <w:jc w:val="left"/>
      </w:pPr>
      <w:r>
        <w:t>HACV06.00.103 麻醉方法代码表</w:t>
      </w:r>
    </w:p>
    <w:p>
      <w:pPr>
        <w:jc w:val="left"/>
        <w:rPr>
          <w:b/>
        </w:rPr>
      </w:pPr>
      <w:r>
        <w:rPr>
          <w:rFonts w:hint="eastAsia"/>
          <w:b/>
        </w:rPr>
        <w:t>引用标准文号：</w:t>
      </w:r>
      <w:r>
        <w:rPr>
          <w:b/>
        </w:rPr>
        <w:t>WS 364.12-2011，CV06.00.103麻醉方法代码表。</w:t>
      </w:r>
    </w:p>
    <w:p>
      <w:pPr>
        <w:jc w:val="left"/>
      </w:pPr>
      <w:r>
        <w:rPr>
          <w:rFonts w:hint="eastAsia"/>
        </w:rPr>
        <w:t>说明：在</w:t>
      </w:r>
      <w:r>
        <w:t>CV06.00.103标准的基础上进行了调整，满足“公立医院绩效考核住院病案首页数据采集质量与接口标准”要求。</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6455"/>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6455"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1974"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全身麻醉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吸入麻醉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静脉麻醉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静吸复合麻醉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14</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基础麻醉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区域麻醉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椎管内麻醉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蛛网膜下腔阻滞麻醉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硬膜外间隙阻滞麻醉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213</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蛛网膜下-硬膜外复合麻醉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神经及神经丛阻滞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颈丛阻滞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臂丛阻滞及上肢神经阻滞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223</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腰骶神经丛阻滞及下肢神经阻滞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224</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躯干神经阻滞：肋间神经阻滞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225</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椎旁神经阻滞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226</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会阴神经阻滞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227</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交感神经阻滞：星状神经节阻滞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228</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胸腰交感神经阻滞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229</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脑神经阻滞：三叉神经阻滞、舌咽神经阻滞</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局部麻醉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表面麻醉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局部侵润麻醉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33</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局部阻滞麻醉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34</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静脉局部麻醉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针刺镇痛与麻醉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复合麻醉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51</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不同药物的复合：普鲁卡因静脉复合全麻，神经安定镇痛麻醉等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52</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不同方法的复合：静吸复合全麻，针药复合麻醉，全身-硬膜外复合麻醉，脊髓-硬膜外复合麻醉等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53</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特殊方法的复合：全麻复合全身降温（低温麻醉），控制性降压等</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645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其他麻醉方法</w:t>
            </w:r>
          </w:p>
        </w:tc>
        <w:tc>
          <w:tcPr>
            <w:tcW w:w="197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HACV06.00.225 治疗类别代码表</w:t>
      </w:r>
    </w:p>
    <w:p>
      <w:pPr>
        <w:jc w:val="left"/>
        <w:rPr>
          <w:b/>
        </w:rPr>
      </w:pPr>
      <w:r>
        <w:rPr>
          <w:rFonts w:hint="eastAsia"/>
          <w:b/>
        </w:rPr>
        <w:t>引用标准文号：</w:t>
      </w:r>
      <w:r>
        <w:rPr>
          <w:b/>
        </w:rPr>
        <w:t>WS 445.11-2014，CV06.00.225 治疗类别代码表</w:t>
      </w:r>
    </w:p>
    <w:p>
      <w:pPr>
        <w:jc w:val="left"/>
      </w:pPr>
      <w:r>
        <w:rPr>
          <w:rFonts w:hint="eastAsia"/>
        </w:rPr>
        <w:t>说明：</w:t>
      </w:r>
      <w:r>
        <w:rPr>
          <w:rFonts w:hint="eastAsia" w:ascii="宋体" w:hAnsi="宋体" w:eastAsia="宋体" w:cs="Times New Roman"/>
          <w:kern w:val="2"/>
          <w:sz w:val="24"/>
          <w:szCs w:val="22"/>
          <w:lang w:val="en-US" w:eastAsia="zh-CN" w:bidi="ar"/>
          <w:woUserID w:val="4"/>
        </w:rPr>
        <w:t>中医病案首页填写独有</w:t>
      </w:r>
      <w:r>
        <w:rPr>
          <w:rFonts w:ascii="宋体" w:hAnsi="宋体" w:eastAsia="宋体" w:cs="宋体"/>
          <w:sz w:val="24"/>
          <w:szCs w:val="24"/>
          <w:lang w:eastAsia="zh-CN"/>
          <w:woUserID w:val="4"/>
        </w:rPr>
        <w:t xml:space="preserve"> </w:t>
      </w:r>
      <w: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民族医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中西医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西医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HACV09.00.404 患者类型代码表</w:t>
      </w:r>
    </w:p>
    <w:p>
      <w:pPr>
        <w:numPr>
          <w:ilvl w:val="255"/>
          <w:numId w:val="0"/>
        </w:numPr>
        <w:jc w:val="left"/>
        <w:rPr>
          <w:b/>
        </w:rPr>
      </w:pPr>
      <w:r>
        <w:rPr>
          <w:rFonts w:hint="eastAsia"/>
          <w:b/>
        </w:rPr>
        <w:t>引用标准文号：</w:t>
      </w:r>
      <w:r>
        <w:rPr>
          <w:b/>
        </w:rPr>
        <w:t>WS 445.4-2014，CV09.00.404 患者类型代码表。</w:t>
      </w:r>
    </w:p>
    <w:p>
      <w:r>
        <w:rPr>
          <w:rFonts w:hint="eastAsia"/>
          <w:b/>
        </w:rPr>
        <w:t>说明：</w:t>
      </w:r>
      <w:r>
        <w:rPr>
          <w:b/>
        </w:rPr>
        <w:t>用于标识患者就诊时的业务活动类别，诸如</w:t>
      </w:r>
      <w:r>
        <w:rPr>
          <w:rFonts w:hint="eastAsia"/>
          <w:b/>
        </w:rPr>
        <w:t>门诊</w:t>
      </w:r>
      <w:r>
        <w:rPr>
          <w:b/>
        </w:rPr>
        <w:t>/</w:t>
      </w:r>
      <w:r>
        <w:rPr>
          <w:rFonts w:hint="eastAsia"/>
          <w:b/>
        </w:rPr>
        <w:t>急诊</w:t>
      </w:r>
      <w:r>
        <w:rPr>
          <w:b/>
        </w:rPr>
        <w:t>/</w:t>
      </w:r>
      <w:r>
        <w:rPr>
          <w:rFonts w:hint="eastAsia"/>
          <w:b/>
        </w:rPr>
        <w:t>体检标识</w:t>
      </w:r>
      <w:r>
        <w:rPr>
          <w:b/>
        </w:rPr>
        <w:t>，增加“4 体检”。</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1</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门诊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2</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急诊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3</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住院</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kern w:val="0"/>
                <w:sz w:val="22"/>
                <w:lang w:bidi="ar"/>
              </w:rPr>
            </w:pPr>
            <w:r>
              <w:rPr>
                <w:rFonts w:hint="eastAsia" w:cs="宋体"/>
                <w:color w:val="000000"/>
                <w:kern w:val="0"/>
                <w:sz w:val="22"/>
                <w:lang w:bidi="ar"/>
              </w:rPr>
              <w:t>4</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kern w:val="0"/>
                <w:sz w:val="22"/>
                <w:lang w:bidi="ar"/>
              </w:rPr>
            </w:pPr>
            <w:r>
              <w:rPr>
                <w:rFonts w:hint="eastAsia" w:cs="宋体"/>
                <w:color w:val="000000"/>
                <w:kern w:val="0"/>
                <w:sz w:val="22"/>
                <w:lang w:bidi="ar"/>
              </w:rPr>
              <w:t>体检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9</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 xml:space="preserve">HACT02.00.001 </w:t>
      </w:r>
      <w:r>
        <w:rPr>
          <w:woUserID w:val="3"/>
        </w:rPr>
        <w:t>城镇农村标识</w:t>
      </w:r>
      <w:r>
        <w:t>代码表</w:t>
      </w:r>
    </w:p>
    <w:p>
      <w:pPr>
        <w:jc w:val="left"/>
        <w:rPr>
          <w:b/>
        </w:rPr>
      </w:pPr>
      <w:r>
        <w:rPr>
          <w:rFonts w:hint="eastAsia"/>
          <w:b/>
        </w:rPr>
        <w:t>引用标准文号：</w:t>
      </w:r>
      <w:r>
        <w:rPr>
          <w:b/>
        </w:rPr>
        <w:t>无。</w:t>
      </w:r>
    </w:p>
    <w:p>
      <w:r>
        <w:rPr>
          <w:rFonts w:hint="eastAsia"/>
        </w:rPr>
        <w:t>说明：</w:t>
      </w:r>
      <w:r>
        <w:t>无</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城镇</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农村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HACT02.00.002 户属性代码表</w:t>
      </w:r>
    </w:p>
    <w:p>
      <w:pPr>
        <w:jc w:val="left"/>
        <w:rPr>
          <w:b/>
        </w:rPr>
      </w:pPr>
      <w:r>
        <w:rPr>
          <w:rFonts w:hint="eastAsia"/>
          <w:b/>
        </w:rPr>
        <w:t>引用标准文号：</w:t>
      </w:r>
      <w:r>
        <w:rPr>
          <w:b/>
        </w:rPr>
        <w:t>无。</w:t>
      </w:r>
    </w:p>
    <w:p>
      <w:r>
        <w:rPr>
          <w:rFonts w:hint="eastAsia"/>
        </w:rPr>
        <w:t>说明：</w:t>
      </w:r>
      <w:r>
        <w:t>无</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一般</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五保</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困难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特困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军烈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HACT02.00.003 房屋分类代码表</w:t>
      </w:r>
    </w:p>
    <w:p>
      <w:pPr>
        <w:jc w:val="left"/>
        <w:rPr>
          <w:b/>
        </w:rPr>
      </w:pPr>
      <w:r>
        <w:rPr>
          <w:rFonts w:hint="eastAsia"/>
          <w:b/>
        </w:rPr>
        <w:t>引用标准文号：</w:t>
      </w:r>
      <w:r>
        <w:rPr>
          <w:b/>
        </w:rPr>
        <w:t>无。</w:t>
      </w:r>
    </w:p>
    <w:p>
      <w:r>
        <w:rPr>
          <w:rFonts w:hint="eastAsia"/>
        </w:rPr>
        <w:t>说明：</w:t>
      </w:r>
      <w:r>
        <w:t>无</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高层建筑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多层建筑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别墅或小楼</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砖瓦平房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简易草房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其他类型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HACT02.00.004 家庭禽畜栏类别代码表</w:t>
      </w:r>
    </w:p>
    <w:p>
      <w:pPr>
        <w:jc w:val="left"/>
        <w:rPr>
          <w:b/>
        </w:rPr>
      </w:pPr>
      <w:r>
        <w:rPr>
          <w:rFonts w:hint="eastAsia"/>
          <w:b/>
        </w:rPr>
        <w:t>引用标准文号：</w:t>
      </w:r>
      <w:r>
        <w:rPr>
          <w:b/>
        </w:rPr>
        <w:t>无。</w:t>
      </w:r>
    </w:p>
    <w:p>
      <w:pPr>
        <w:jc w:val="left"/>
      </w:pPr>
      <w:r>
        <w:rPr>
          <w:rFonts w:hint="eastAsia"/>
        </w:rPr>
        <w:t>说明：说本人家庭中所使用的禽畜养殖场所的类别代码</w:t>
      </w:r>
      <w: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没有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单设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室内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室外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 xml:space="preserve">HACT02.00.006 </w:t>
      </w:r>
      <w:r>
        <w:rPr>
          <w:rFonts w:hint="eastAsia" w:ascii="Times New Roman" w:hAnsi="Times New Roman" w:cs="Times New Roman"/>
          <w:bCs w:val="0"/>
          <w:color w:val="0D0D0D"/>
          <w:lang w:bidi="ar"/>
        </w:rPr>
        <w:t>住院</w:t>
      </w:r>
      <w:r>
        <w:rPr>
          <w:rFonts w:ascii="Times New Roman" w:hAnsi="Times New Roman" w:cs="Times New Roman"/>
          <w:bCs w:val="0"/>
          <w:color w:val="0D0D0D"/>
          <w:lang w:bidi="ar"/>
        </w:rPr>
        <w:t>史和</w:t>
      </w:r>
      <w:r>
        <w:rPr>
          <w:rFonts w:hint="eastAsia" w:ascii="Times New Roman" w:hAnsi="Times New Roman" w:cs="Times New Roman"/>
          <w:bCs w:val="0"/>
          <w:color w:val="0D0D0D"/>
          <w:lang w:bidi="ar"/>
        </w:rPr>
        <w:t>家庭病床史</w:t>
      </w:r>
      <w:r>
        <w:t>标识代码表</w:t>
      </w:r>
    </w:p>
    <w:p>
      <w:pPr>
        <w:numPr>
          <w:ilvl w:val="255"/>
          <w:numId w:val="0"/>
        </w:numPr>
        <w:jc w:val="left"/>
        <w:rPr>
          <w:b/>
        </w:rPr>
      </w:pPr>
      <w:r>
        <w:rPr>
          <w:rFonts w:hint="eastAsia"/>
          <w:b/>
        </w:rPr>
        <w:t>引用标准文号：</w:t>
      </w:r>
      <w:r>
        <w:rPr>
          <w:b/>
        </w:rPr>
        <w:t>无。</w:t>
      </w:r>
    </w:p>
    <w:p>
      <w:pPr>
        <w:jc w:val="left"/>
        <w:rPr>
          <w:b/>
        </w:rPr>
      </w:pPr>
      <w:r>
        <w:rPr>
          <w:rFonts w:hint="eastAsia"/>
          <w:b/>
        </w:rPr>
        <w:t>说明：用于居民健康档案填写</w:t>
      </w:r>
      <w:r>
        <w:rPr>
          <w:rFonts w:hint="eastAsia"/>
          <w:b/>
          <w:color w:val="0D0D0D"/>
          <w:lang w:bidi="ar"/>
        </w:rPr>
        <w:t>住院</w:t>
      </w:r>
      <w:r>
        <w:rPr>
          <w:b/>
          <w:color w:val="0D0D0D"/>
          <w:lang w:bidi="ar"/>
        </w:rPr>
        <w:t>/</w:t>
      </w:r>
      <w:r>
        <w:rPr>
          <w:rFonts w:hint="eastAsia"/>
          <w:b/>
          <w:color w:val="0D0D0D"/>
          <w:lang w:bidi="ar"/>
        </w:rPr>
        <w:t>家庭病床史分类</w:t>
      </w:r>
      <w:r>
        <w:rPr>
          <w:rFonts w:hint="eastAsia"/>
          <w:b/>
        </w:rPr>
        <w:t>代码</w:t>
      </w:r>
      <w:r>
        <w:rPr>
          <w:b/>
        </w:rPr>
        <w:t>标识</w:t>
      </w:r>
      <w:r>
        <w:rPr>
          <w:rFonts w:hint="eastAsia"/>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住院史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家庭病床史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HACT02.00.007 家族史和遗传史标识代码表</w:t>
      </w:r>
    </w:p>
    <w:p>
      <w:pPr>
        <w:numPr>
          <w:ilvl w:val="255"/>
          <w:numId w:val="0"/>
        </w:numPr>
        <w:jc w:val="left"/>
        <w:rPr>
          <w:b/>
        </w:rPr>
      </w:pPr>
      <w:r>
        <w:rPr>
          <w:rFonts w:hint="eastAsia"/>
          <w:b/>
        </w:rPr>
        <w:t>引用标准文号：</w:t>
      </w:r>
      <w:r>
        <w:rPr>
          <w:b/>
        </w:rPr>
        <w:t>无。</w:t>
      </w:r>
    </w:p>
    <w:p>
      <w:pPr>
        <w:jc w:val="left"/>
        <w:rPr>
          <w:b/>
        </w:rPr>
      </w:pPr>
      <w:r>
        <w:rPr>
          <w:rFonts w:hint="eastAsia"/>
          <w:b/>
        </w:rPr>
        <w:t>说明：</w:t>
      </w:r>
      <w:r>
        <w:rPr>
          <w:b/>
        </w:rPr>
        <w:t>用于居民健康档案中家族史和遗传史标识分类表。</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家族史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遗传史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HACT02.00.008 接触危害物分类代码表</w:t>
      </w:r>
    </w:p>
    <w:p>
      <w:pPr>
        <w:jc w:val="left"/>
        <w:rPr>
          <w:b/>
        </w:rPr>
      </w:pPr>
      <w:r>
        <w:rPr>
          <w:rFonts w:hint="eastAsia"/>
          <w:b/>
        </w:rPr>
        <w:t>引用标准文号：无</w:t>
      </w:r>
    </w:p>
    <w:p>
      <w:pPr>
        <w:jc w:val="left"/>
        <w:rPr>
          <w:b/>
        </w:rPr>
      </w:pPr>
      <w:r>
        <w:rPr>
          <w:rFonts w:hint="eastAsia"/>
          <w:b/>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粉尘场所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放射场所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物理因素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化工场所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其他场所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HACT02.00.010 饮食嗜好代码组合表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无嗜好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嗜好盐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嗜好油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嗜好糖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HACT02.00.020 听力检测结果代码表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听见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听不清或听不见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HACT02.00.026 咽部检查结果代码表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无充血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充血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淋巴滤泡增生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HACT02.00.028 足背动脉搏动代码表</w:t>
      </w:r>
    </w:p>
    <w:p>
      <w:pPr>
        <w:numPr>
          <w:ilvl w:val="255"/>
          <w:numId w:val="0"/>
        </w:numPr>
        <w:jc w:val="left"/>
        <w:rPr>
          <w:b/>
        </w:rPr>
      </w:pPr>
      <w:r>
        <w:rPr>
          <w:rFonts w:hint="eastAsia"/>
          <w:b/>
        </w:rPr>
        <w:t>引用标准文号：</w:t>
      </w:r>
      <w:r>
        <w:rPr>
          <w:b/>
          <w:woUserID w:val="3"/>
        </w:rPr>
        <w:t>《国家基本公共卫生服务规范(第三版)》(国卫基层发〔2017〕13号)</w:t>
      </w:r>
      <w:r>
        <w:rPr>
          <w:b/>
        </w:rPr>
        <w:t>。</w:t>
      </w:r>
    </w:p>
    <w:p>
      <w:pPr>
        <w:rPr>
          <w:b/>
        </w:rPr>
      </w:pPr>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触及正常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减弱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消失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HACT02.00.029 运动功能状态代码表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可顺利完成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无法独立完成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HACT02.00.036 肺部罗音代码表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干罗音</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湿罗音</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HACT02.00.041 肾区叩痛检查结果代码表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左侧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右侧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双侧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HACT02.00.044 心律类别代码表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心律齐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心律不齐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心律绝对不齐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HACT02.00.050 附件异常标志代码表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正常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缺失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包块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压痛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HACT02.00.066 脑血管疾病组合代码表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缺血性卒中</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I63.9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脑出血</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I61.9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蛛网膜下腔出血</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I60.9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短暂性脑缺血发作</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G45.9</w:t>
            </w:r>
          </w:p>
        </w:tc>
      </w:tr>
    </w:tbl>
    <w:p>
      <w:pPr>
        <w:jc w:val="left"/>
      </w:pPr>
    </w:p>
    <w:p>
      <w:pPr>
        <w:pStyle w:val="3"/>
        <w:numPr>
          <w:ilvl w:val="0"/>
          <w:numId w:val="3"/>
        </w:numPr>
        <w:spacing w:before="0" w:after="0" w:line="360" w:lineRule="auto"/>
        <w:jc w:val="left"/>
      </w:pPr>
      <w:r>
        <w:t>HACT02.00.068 肾脏疾病代码组合表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糖尿病肾病</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E11.2</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肾功能衰竭</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N19.x</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急性肾炎</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N00.9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慢性肾炎</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N03.9</w:t>
            </w:r>
          </w:p>
        </w:tc>
      </w:tr>
    </w:tbl>
    <w:p>
      <w:pPr>
        <w:jc w:val="left"/>
      </w:pPr>
    </w:p>
    <w:p>
      <w:pPr>
        <w:pStyle w:val="3"/>
        <w:numPr>
          <w:ilvl w:val="0"/>
          <w:numId w:val="3"/>
        </w:numPr>
        <w:spacing w:before="0" w:after="0" w:line="360" w:lineRule="auto"/>
        <w:jc w:val="left"/>
      </w:pPr>
      <w:r>
        <w:t>HACT02.00.070 心脏疾病代码组合</w:t>
      </w:r>
    </w:p>
    <w:p>
      <w:pPr>
        <w:rPr>
          <w:b/>
          <w:bCs/>
        </w:rPr>
      </w:pPr>
      <w:r>
        <w:rPr>
          <w:rFonts w:hint="eastAsia"/>
          <w:b/>
          <w:bCs/>
        </w:rPr>
        <w:t>引用标准文号：无。</w:t>
      </w:r>
    </w:p>
    <w:p>
      <w:pPr>
        <w:rPr>
          <w:b/>
          <w:bCs/>
        </w:rPr>
      </w:pPr>
      <w:r>
        <w:rPr>
          <w:rFonts w:hint="eastAsia"/>
          <w:b/>
          <w:bCs/>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心肌梗死</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I21.9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心绞痛</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rPr>
              <w:t>I20.9</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woUserID w:val="5"/>
              </w:rPr>
              <w:t>冠状动脉血运重建</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+36.0</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充血性心力衰竭</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rPr>
              <w:t>I50.9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心前区疼痛</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rPr>
              <w:t>R07.2</w:t>
            </w:r>
          </w:p>
        </w:tc>
      </w:tr>
    </w:tbl>
    <w:p>
      <w:pPr>
        <w:jc w:val="left"/>
      </w:pPr>
    </w:p>
    <w:p>
      <w:pPr>
        <w:pStyle w:val="3"/>
        <w:numPr>
          <w:ilvl w:val="0"/>
          <w:numId w:val="3"/>
        </w:numPr>
        <w:spacing w:before="0" w:after="0" w:line="360" w:lineRule="auto"/>
        <w:jc w:val="left"/>
      </w:pPr>
      <w:r>
        <w:t>HACT02.00.072 血管疾病代码组合表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夹层动脉瘤</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woUserID w:val="5"/>
              </w:rPr>
              <w:t>I71.9</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动脉闭塞性疾病</w:t>
            </w:r>
          </w:p>
        </w:tc>
        <w:tc>
          <w:tcPr>
            <w:tcW w:w="6031" w:type="dxa"/>
            <w:shd w:val="clear" w:color="auto" w:fill="auto"/>
            <w:vAlign w:val="center"/>
          </w:tcPr>
          <w:p>
            <w:pPr>
              <w:keepNext w:val="0"/>
              <w:keepLines w:val="0"/>
              <w:suppressLineNumbers w:val="0"/>
              <w:spacing w:before="0" w:beforeAutospacing="0" w:after="0" w:afterAutospacing="0"/>
              <w:ind w:left="0" w:leftChars="0" w:right="0" w:rightChars="0"/>
              <w:jc w:val="left"/>
              <w:rPr>
                <w:rFonts w:hint="eastAsia"/>
                <w:sz w:val="21"/>
              </w:rPr>
            </w:pPr>
            <w:r>
              <w:rPr>
                <w:rFonts w:hint="eastAsia"/>
                <w:sz w:val="21"/>
              </w:rPr>
              <w:t>I74.9</w:t>
            </w:r>
          </w:p>
        </w:tc>
      </w:tr>
    </w:tbl>
    <w:p>
      <w:pPr>
        <w:jc w:val="left"/>
      </w:pPr>
    </w:p>
    <w:p>
      <w:pPr>
        <w:pStyle w:val="3"/>
        <w:numPr>
          <w:ilvl w:val="0"/>
          <w:numId w:val="3"/>
        </w:numPr>
        <w:spacing w:before="0" w:after="0" w:line="360" w:lineRule="auto"/>
        <w:jc w:val="left"/>
      </w:pPr>
      <w:r>
        <w:t>HACT02.00.074 健康指导代码组合表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慢病管理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建议复查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建议转诊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其他指导</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HACT02.00.075 危险因素控制建议代码组合表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建议戒烟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健康饮酒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注意饮食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锻炼身体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减轻体重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接种疫苗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其他方面</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HACT02.00.076 体检分类代码表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公卫成人体检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公卫慢病体检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公卫老年体检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居民健康体检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HACT02.00.077 健康体检症状代码表</w:t>
      </w:r>
    </w:p>
    <w:p>
      <w:pPr>
        <w:numPr>
          <w:ilvl w:val="255"/>
          <w:numId w:val="0"/>
        </w:numPr>
        <w:jc w:val="left"/>
        <w:rPr>
          <w:b/>
        </w:rPr>
      </w:pPr>
      <w:r>
        <w:rPr>
          <w:rFonts w:hint="eastAsia"/>
          <w:b/>
        </w:rPr>
        <w:t>引用标准文号：</w:t>
      </w:r>
      <w:r>
        <w:rPr>
          <w:b/>
        </w:rPr>
        <w:t>《国家基本公共卫生服务规范(第三版)》附件(国卫基层发〔2017〕13号)，“健康体检表”中的“症状”。</w:t>
      </w:r>
    </w:p>
    <w:p>
      <w:r>
        <w:rPr>
          <w:rFonts w:hint="eastAsia"/>
          <w:b/>
        </w:rPr>
        <w:t>说明：</w:t>
      </w:r>
      <w:r>
        <w:rPr>
          <w:rFonts w:hint="eastAsia" w:cs="Times New Roman"/>
          <w:szCs w:val="24"/>
          <w:lang w:bidi="ar"/>
        </w:rPr>
        <w:t>执行“国家基本公共卫生服务规范”中的编码，没有执行标准所要求的“ICD－10R”编码。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无症状</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头痛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3</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头晕</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4</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心悸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5</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胸闷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6</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胸痛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7</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慢性咳嗽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8</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咳痰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9</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呼吸困难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10</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多饮</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11</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多尿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12</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体重下降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13</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乏力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14</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关节肿痛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15</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视力模糊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16</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手脚麻木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17</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尿急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18</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尿痛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19</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便秘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20</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腹泻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21</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恶心呕吐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22</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眼花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23</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耳鸣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24</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乳房胀痛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Times New Roman"/>
                <w:sz w:val="21"/>
                <w:szCs w:val="21"/>
                <w:lang w:bidi="ar"/>
              </w:rPr>
              <w:t>25</w:t>
            </w:r>
          </w:p>
        </w:tc>
        <w:tc>
          <w:tcPr>
            <w:tcW w:w="2397" w:type="dxa"/>
            <w:shd w:val="clear" w:color="auto" w:fill="auto"/>
            <w:vAlign w:val="center"/>
          </w:tcPr>
          <w:p>
            <w:pPr>
              <w:keepNext w:val="0"/>
              <w:keepLines w:val="0"/>
              <w:suppressLineNumbers w:val="0"/>
              <w:spacing w:before="0" w:beforeAutospacing="0" w:after="0" w:afterAutospacing="0"/>
              <w:ind w:left="0" w:right="0"/>
              <w:rPr>
                <w:rFonts w:hint="eastAsia"/>
                <w:sz w:val="21"/>
              </w:rPr>
            </w:pPr>
            <w:r>
              <w:rPr>
                <w:rFonts w:hint="eastAsia" w:ascii="等线" w:hAnsi="等线" w:cs="宋体"/>
                <w:sz w:val="21"/>
                <w:szCs w:val="21"/>
                <w:lang w:bidi="ar"/>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HACT02.00.078 慢病管理分类代码表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精神病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脑卒中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冠心病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慢阻肺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结核病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肿瘤</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HACT02.00.079  居民健康档案管理状态代码表</w:t>
      </w:r>
    </w:p>
    <w:p>
      <w:pPr>
        <w:numPr>
          <w:ilvl w:val="255"/>
          <w:numId w:val="0"/>
        </w:numPr>
        <w:jc w:val="left"/>
        <w:rPr>
          <w:b/>
        </w:rPr>
      </w:pPr>
      <w:r>
        <w:rPr>
          <w:rFonts w:hint="eastAsia"/>
          <w:b/>
        </w:rPr>
        <w:t>引用标准文号：</w:t>
      </w:r>
      <w:r>
        <w:rPr>
          <w:b/>
        </w:rPr>
        <w:t>无。</w:t>
      </w:r>
    </w:p>
    <w:p>
      <w:r>
        <w:rPr>
          <w:rFonts w:hint="eastAsia"/>
          <w:b/>
        </w:rPr>
        <w:t>说明：</w:t>
      </w:r>
      <w:r>
        <w:rPr>
          <w:b/>
        </w:rPr>
        <w:t>记录</w:t>
      </w:r>
      <w:r>
        <w:t>居民健康档案</w:t>
      </w:r>
      <w:r>
        <w:rPr>
          <w:b/>
        </w:rPr>
        <w:t>迁入、迁出辖区等管理状态。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在管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迁入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迁出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死亡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 xml:space="preserve">HACT02.00.082 按家庭为单位的户属性代码 </w:t>
      </w:r>
    </w:p>
    <w:p>
      <w:pPr>
        <w:numPr>
          <w:ilvl w:val="255"/>
          <w:numId w:val="0"/>
        </w:numPr>
        <w:jc w:val="left"/>
        <w:rPr>
          <w:b/>
        </w:rPr>
      </w:pPr>
      <w:r>
        <w:rPr>
          <w:rFonts w:hint="eastAsia"/>
          <w:b/>
        </w:rPr>
        <w:t>引用标准文号：</w:t>
      </w:r>
      <w:r>
        <w:rPr>
          <w:b/>
        </w:rPr>
        <w:t>无。</w:t>
      </w:r>
    </w:p>
    <w:p>
      <w:r>
        <w:rPr>
          <w:rFonts w:hint="eastAsia"/>
          <w:b/>
        </w:rPr>
        <w:t>说明：</w:t>
      </w:r>
      <w:r>
        <w:rPr>
          <w:b/>
        </w:rPr>
        <w:t>适应于公卫服务中</w:t>
      </w:r>
      <w:r>
        <w:rPr>
          <w:rFonts w:hint="eastAsia"/>
          <w:b/>
          <w:lang w:bidi="ar"/>
        </w:rPr>
        <w:t>家庭基本信息表填写</w:t>
      </w:r>
      <w:r>
        <w:rPr>
          <w:b/>
        </w:rPr>
        <w:t xml:space="preserve"> 。</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一般</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五保</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困难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特困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军烈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残疾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HACT02.00.083  特殊家庭类型代码表</w:t>
      </w:r>
    </w:p>
    <w:p>
      <w:pPr>
        <w:numPr>
          <w:ilvl w:val="255"/>
          <w:numId w:val="0"/>
        </w:numPr>
        <w:jc w:val="left"/>
        <w:rPr>
          <w:b/>
        </w:rPr>
      </w:pPr>
      <w:r>
        <w:rPr>
          <w:rFonts w:hint="eastAsia"/>
          <w:b/>
        </w:rPr>
        <w:t>引用标准文号：</w:t>
      </w:r>
      <w:r>
        <w:rPr>
          <w:b/>
        </w:rPr>
        <w:t>无。</w:t>
      </w:r>
    </w:p>
    <w:p>
      <w:r>
        <w:rPr>
          <w:rFonts w:hint="eastAsia"/>
          <w:b/>
        </w:rPr>
        <w:t>说明：</w:t>
      </w:r>
      <w:r>
        <w:rPr>
          <w:b/>
        </w:rPr>
        <w:t>适应于公卫服务中</w:t>
      </w:r>
      <w:r>
        <w:rPr>
          <w:rFonts w:hint="eastAsia"/>
          <w:b/>
          <w:lang w:bidi="ar"/>
        </w:rPr>
        <w:t>家庭基本信息表填写</w:t>
      </w:r>
      <w:r>
        <w:rPr>
          <w:rFonts w:hint="eastAsia"/>
          <w:b/>
        </w:rPr>
        <w:t xml:space="preserve"> </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空巢家庭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孤老家庭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单亲家庭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sz w:val="21"/>
              </w:rPr>
            </w:pPr>
            <w:r>
              <w:rPr>
                <w:rFonts w:hint="eastAsia" w:cs="宋体"/>
                <w:color w:val="000000"/>
                <w:kern w:val="0"/>
                <w:sz w:val="22"/>
                <w:lang w:bidi="ar"/>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HACT03.00.001 高血压诊断分级代码表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一级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二级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三级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收缩期高血压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HACT03.00.002 高血压心血管</w:t>
      </w:r>
      <w:r>
        <w:rPr>
          <w:rFonts w:hint="eastAsia"/>
        </w:rPr>
        <w:t>风险水平</w:t>
      </w:r>
      <w:r>
        <w:t>代码表</w:t>
      </w:r>
    </w:p>
    <w:p>
      <w:pPr>
        <w:numPr>
          <w:ilvl w:val="255"/>
          <w:numId w:val="0"/>
        </w:numPr>
        <w:jc w:val="left"/>
        <w:rPr>
          <w:b/>
        </w:rPr>
      </w:pPr>
      <w:r>
        <w:rPr>
          <w:rFonts w:hint="eastAsia"/>
          <w:b/>
        </w:rPr>
        <w:t>引用标准文号：</w:t>
      </w:r>
      <w:r>
        <w:rPr>
          <w:b/>
        </w:rPr>
        <w:t>《中国高血压防治指南(2018年)》。</w:t>
      </w:r>
    </w:p>
    <w:p>
      <w:r>
        <w:rPr>
          <w:rFonts w:hint="eastAsia"/>
          <w:b/>
        </w:rPr>
        <w:t>说明：</w:t>
      </w:r>
      <w:r>
        <w:rPr>
          <w:b/>
        </w:rPr>
        <w:t>无。【中国高血压防治指南中的分层：低危、中危、高危、很高危】</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低危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很高危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HACV06.00.207 随访方式代码表</w:t>
      </w:r>
    </w:p>
    <w:p>
      <w:pPr>
        <w:numPr>
          <w:ilvl w:val="255"/>
          <w:numId w:val="0"/>
        </w:numPr>
        <w:jc w:val="left"/>
        <w:rPr>
          <w:b/>
        </w:rPr>
      </w:pPr>
      <w:r>
        <w:rPr>
          <w:rFonts w:hint="eastAsia"/>
          <w:b/>
        </w:rPr>
        <w:t>引用标准文号：</w:t>
      </w:r>
      <w:r>
        <w:rPr>
          <w:b/>
        </w:rPr>
        <w:t>WS 364.12-2011，CV06.00.207。</w:t>
      </w:r>
    </w:p>
    <w:p>
      <w:pPr>
        <w:rPr>
          <w:b/>
        </w:rPr>
      </w:pPr>
      <w:r>
        <w:rPr>
          <w:rFonts w:hint="eastAsia"/>
          <w:b/>
        </w:rPr>
        <w:t>说明：</w:t>
      </w:r>
      <w:r>
        <w:rPr>
          <w:b/>
        </w:rPr>
        <w:t>增加“6</w:t>
      </w:r>
      <w:r>
        <w:rPr>
          <w:rFonts w:hint="eastAsia" w:cs="Times New Roman"/>
          <w:b/>
          <w:sz w:val="21"/>
          <w:szCs w:val="21"/>
          <w:lang w:bidi="ar"/>
        </w:rPr>
        <w:t>、APP，</w:t>
      </w:r>
      <w:r>
        <w:rPr>
          <w:rFonts w:cs="Times New Roman"/>
          <w:b/>
          <w:sz w:val="21"/>
          <w:szCs w:val="21"/>
          <w:lang w:bidi="ar"/>
        </w:rPr>
        <w:t>7</w:t>
      </w:r>
      <w:r>
        <w:rPr>
          <w:rFonts w:hint="eastAsia" w:cs="Times New Roman"/>
          <w:b/>
          <w:sz w:val="21"/>
          <w:szCs w:val="21"/>
          <w:lang w:bidi="ar"/>
        </w:rPr>
        <w:t>、微信</w:t>
      </w:r>
      <w:r>
        <w:rPr>
          <w:b/>
        </w:rPr>
        <w:t>”公卫服务和医疗服务中的随访方式填写。</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color w:val="000000"/>
                <w:sz w:val="21"/>
              </w:rPr>
            </w:pPr>
            <w:r>
              <w:rPr>
                <w:rFonts w:hint="eastAsia"/>
                <w:color w:val="000000"/>
                <w:sz w:val="21"/>
              </w:rPr>
              <w:t>门诊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color w:val="000000"/>
                <w:sz w:val="21"/>
              </w:rPr>
            </w:pPr>
            <w:r>
              <w:rPr>
                <w:rFonts w:hint="eastAsia"/>
                <w:color w:val="000000"/>
                <w:sz w:val="21"/>
              </w:rPr>
              <w:t>家庭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color w:val="000000"/>
                <w:sz w:val="21"/>
              </w:rPr>
            </w:pPr>
            <w:r>
              <w:rPr>
                <w:rFonts w:hint="eastAsia"/>
                <w:color w:val="000000"/>
                <w:sz w:val="21"/>
              </w:rPr>
              <w:t>电话</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color w:val="000000"/>
                <w:sz w:val="21"/>
              </w:rPr>
            </w:pPr>
            <w:r>
              <w:rPr>
                <w:rFonts w:hint="eastAsia"/>
                <w:color w:val="000000"/>
                <w:sz w:val="21"/>
              </w:rPr>
              <w:t>短信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color w:val="000000"/>
                <w:sz w:val="21"/>
              </w:rPr>
            </w:pPr>
            <w:r>
              <w:rPr>
                <w:rFonts w:hint="eastAsia"/>
                <w:color w:val="000000"/>
                <w:sz w:val="21"/>
              </w:rPr>
              <w:t>网络</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APP</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微信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HACT03.00.005 运动频率代码表</w:t>
      </w:r>
    </w:p>
    <w:p>
      <w:pPr>
        <w:numPr>
          <w:ilvl w:val="255"/>
          <w:numId w:val="0"/>
        </w:numPr>
        <w:jc w:val="left"/>
        <w:rPr>
          <w:b/>
        </w:rPr>
      </w:pPr>
      <w:r>
        <w:rPr>
          <w:rFonts w:hint="eastAsia"/>
          <w:b/>
        </w:rPr>
        <w:t>引用标准文号：</w:t>
      </w:r>
      <w:r>
        <w:rPr>
          <w:b/>
        </w:rPr>
        <w:t>国家基本公共卫生服务规范(第三版)》。</w:t>
      </w:r>
    </w:p>
    <w:p>
      <w:r>
        <w:rPr>
          <w:rFonts w:hint="eastAsia"/>
          <w:b/>
        </w:rPr>
        <w:t>说明：</w:t>
      </w:r>
      <w:r>
        <w:t>用于高血压随访、糖尿病随访中的心理状态情况填写</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经常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偶尔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从不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HACT03.00.007 高血压摄盐情况代码表</w:t>
      </w:r>
    </w:p>
    <w:p>
      <w:pPr>
        <w:numPr>
          <w:ilvl w:val="255"/>
          <w:numId w:val="0"/>
        </w:numPr>
        <w:jc w:val="left"/>
        <w:rPr>
          <w:b/>
        </w:rPr>
      </w:pPr>
      <w:r>
        <w:rPr>
          <w:rFonts w:hint="eastAsia"/>
          <w:b/>
        </w:rPr>
        <w:t>引用标准文号：</w:t>
      </w:r>
      <w:r>
        <w:rPr>
          <w:b/>
        </w:rPr>
        <w:t>国家基本公共卫生服务规范(第三版)》。</w:t>
      </w:r>
    </w:p>
    <w:p>
      <w:r>
        <w:rPr>
          <w:rFonts w:hint="eastAsia"/>
          <w:b/>
        </w:rPr>
        <w:t>说明：</w:t>
      </w:r>
      <w:r>
        <w:t>用于高血压随访、糖尿病随访中的心理状态情况填写</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HACT03.00.009 心理状态代码表</w:t>
      </w:r>
    </w:p>
    <w:p>
      <w:pPr>
        <w:numPr>
          <w:ilvl w:val="255"/>
          <w:numId w:val="0"/>
        </w:numPr>
        <w:jc w:val="left"/>
        <w:rPr>
          <w:b/>
        </w:rPr>
      </w:pPr>
      <w:r>
        <w:rPr>
          <w:rFonts w:hint="eastAsia"/>
          <w:b/>
        </w:rPr>
        <w:t>引用标准文号：</w:t>
      </w:r>
      <w:r>
        <w:rPr>
          <w:b/>
        </w:rPr>
        <w:t>国家基本公共卫生服务规范(第三版)》。</w:t>
      </w:r>
    </w:p>
    <w:p>
      <w:r>
        <w:rPr>
          <w:rFonts w:hint="eastAsia"/>
          <w:b/>
        </w:rPr>
        <w:t>说明：</w:t>
      </w:r>
      <w:r>
        <w:t>用于高血压随访、糖尿病随访中的心理状态情况填写</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良好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一般</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差</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HACT03.00.010 遵医行为代码表</w:t>
      </w:r>
    </w:p>
    <w:p>
      <w:pPr>
        <w:numPr>
          <w:ilvl w:val="255"/>
          <w:numId w:val="0"/>
        </w:numPr>
        <w:jc w:val="left"/>
        <w:rPr>
          <w:b/>
        </w:rPr>
      </w:pPr>
      <w:r>
        <w:rPr>
          <w:rFonts w:hint="eastAsia"/>
          <w:b/>
        </w:rPr>
        <w:t>引用标准文号：</w:t>
      </w:r>
      <w:r>
        <w:rPr>
          <w:b/>
        </w:rPr>
        <w:t>国家基本公共卫生服务规范(第三版)》。</w:t>
      </w:r>
    </w:p>
    <w:p>
      <w:r>
        <w:rPr>
          <w:rFonts w:hint="eastAsia"/>
          <w:b/>
        </w:rPr>
        <w:t>说明：</w:t>
      </w:r>
      <w:r>
        <w:t>用于高血压随访、糖尿病随访中的遵医情况填写</w:t>
      </w:r>
      <w:r>
        <w:rPr>
          <w:b/>
        </w:rPr>
        <w:t>。</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良好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一般</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差</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HACT03.00.011 服药依从性代码表</w:t>
      </w:r>
    </w:p>
    <w:p>
      <w:pPr>
        <w:numPr>
          <w:ilvl w:val="255"/>
          <w:numId w:val="0"/>
        </w:numPr>
        <w:jc w:val="left"/>
        <w:rPr>
          <w:b/>
        </w:rPr>
      </w:pPr>
      <w:r>
        <w:rPr>
          <w:rFonts w:hint="eastAsia"/>
          <w:b/>
        </w:rPr>
        <w:t>引用标准文号：</w:t>
      </w:r>
      <w:r>
        <w:rPr>
          <w:b/>
        </w:rPr>
        <w:t>《国家基本公共卫生服务规范(第三版)》。</w:t>
      </w:r>
    </w:p>
    <w:p>
      <w:r>
        <w:rPr>
          <w:rFonts w:hint="eastAsia"/>
          <w:b/>
        </w:rPr>
        <w:t>说明：</w:t>
      </w:r>
      <w:r>
        <w:t>用于高血压随访、糖尿病随访中的服务依从性情况填写。</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规律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间断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不服药</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HACT03.00.014 糖尿病诊断分型代码表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Ⅰ型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Ⅱ型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HACT03.00.015 糖尿病健康管理方式代码表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常规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强化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HACT03.00.018 低血糖反应代码表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没有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偶尔</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频繁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HACT03.00.019 高血压ICD-10编码</w:t>
      </w:r>
    </w:p>
    <w:p>
      <w:pPr>
        <w:numPr>
          <w:ilvl w:val="255"/>
          <w:numId w:val="0"/>
        </w:numPr>
        <w:jc w:val="left"/>
        <w:rPr>
          <w:b/>
        </w:rPr>
      </w:pPr>
      <w:r>
        <w:rPr>
          <w:rFonts w:hint="eastAsia"/>
          <w:b/>
        </w:rPr>
        <w:t>引用标准文号：</w:t>
      </w:r>
      <w:r>
        <w:rPr>
          <w:b/>
        </w:rPr>
        <w:t>疾病分类与代码国家临床版2.0，《关于启动2019年全国三级公立医院绩效考核有关工作的通知》(国卫办医函〔2019〕371号)。</w:t>
      </w:r>
    </w:p>
    <w:p>
      <w:r>
        <w:rPr>
          <w:rFonts w:hint="eastAsia"/>
          <w:b/>
        </w:rPr>
        <w:t>说明：</w:t>
      </w:r>
      <w:r>
        <w:rPr>
          <w:b/>
        </w:rPr>
        <w:t>根据“国家临床2.0版”筛选高血压疾病，编码值采用“主要编码”+“附加编码”。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5528"/>
        <w:gridCol w:w="2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5528"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225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特发性(原发性)高血压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I10.x00x007</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老年收缩期高血压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I10.x00x008</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良性高血压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I10.x00x009</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临界性高血压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I10.x00x015</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青春期高血压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I10.x00x016</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白大衣高血压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I10.x00x017</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假性高血压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高血压病1级（低危）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高血压病1级（中危）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高血压病1级（高危）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I10.x00x024</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高血压病1级（极高危）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I10.x00x025</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高血压病2级（低危）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I10.x00x026</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高血压病2级（中危）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I10.x00x027</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高血压病2级（高危）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I10.x00x028</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高血压病2级（极高危）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I10.x00x029</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高血压病3级（低危）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I10.x00x030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高血压病3级（中危）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I10.x00x031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高血压病3级（高危）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I10.x00x032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高血压病3级（极高危）</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恶性高血压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高血压1级</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I10.x04</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高血压2级</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I10.x05</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高血压3级</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I10.x06</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高血压危象</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I10.x08</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单纯收缩期高血压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I10.x09</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原发性高血压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I10.x10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高血压急症</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I10.x12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难治性高血压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I10.x13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低肾素性高血压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I10.x14</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高血压亚急症</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I11.000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高血压心脏病伴有(充血性)心力衰竭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I11.001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高血压性心力衰竭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I11.002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高血压心脏病伴心力衰竭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I11.900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高血压心脏病不伴有(充血性)心力衰竭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I11.901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高血压性心脏病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I12.000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高血压肾脏病伴有肾衰竭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I12.000x001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高血压性肾衰竭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I12.900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高血压肾脏病不伴有肾衰竭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I12.900x003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高血压性肾病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I12.900x005</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肾萎缩伴高血压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I13.000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高血压心脏和肾脏病伴有(充血性)心力衰竭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I13.100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高血压心脏和肾脏病伴有肾衰竭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I13.200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高血压心脏和肾脏病同时伴有(充血性)心力衰竭和肾衰竭</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I13.900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高血压心脏和肾脏病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I13.900x002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肾性高血压伴高血压性心脏病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I15.000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肾血管性高血压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I15.100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继发于其他肾疾患的高血压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I15.100x001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肾实质性高血压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I15.102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I15.103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肾萎缩伴有高血压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I15.200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继发于内分泌疾患的高血压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I15.200x001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原发性醛固酮增多症性高血压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I15.200x002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肾上腺皮质醇增多症性高血压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I15.200x003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肾上腺髓质增生性高血压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I15.200x004</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糖皮质激素增多综合征性高血压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继发性高血压，其他的</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口服避孕药性高血压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I15.800x002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大动脉炎性高血压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I15.800x003</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医源性高血压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I15.800x004</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围手术期高血压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I15.800x005</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嗜铬细胞瘤性高血压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I15.800x006</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阻塞性睡眠呼吸暂停低通气综合征性高血压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I15.900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O10.000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原有特发性高血压并发于妊娠、分娩和产褥期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O10.000x001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妊娠合并原发性高血压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妊娠合并高血压病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O10.100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原有高血压心脏病并发于妊娠、分娩和产褥期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O10.100x001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妊娠合并高血压心脏病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O10.101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妊娠合并高血压性心脏病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O10.200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原有高血压肾脏病并发于妊娠、分娩和产褥期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O10.201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妊娠合并高血压性肾病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O10.300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原有高血压心脏和肾脏病并发于妊娠、分娩和产褥期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O10.301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妊娠合并高血压性心脏病和肾病</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O10.400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原有继发性高血压并发于妊娠、分娩和产褥期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O10.401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妊娠合并继发性高血压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O10.900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原有高血压并发于妊娠、分娩和产褥期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O10.900x001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O10.900x002</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妊娠合并慢性高血压</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O11.x00</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原有高血压性疾患，并发蛋白尿</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O11.x00x001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慢性高血压并发子痫前期</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O11.x00x011</w:t>
            </w:r>
          </w:p>
        </w:tc>
        <w:tc>
          <w:tcPr>
            <w:tcW w:w="552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妊娠伴原发性高血压并发蛋白尿</w:t>
            </w:r>
          </w:p>
        </w:tc>
        <w:tc>
          <w:tcPr>
            <w:tcW w:w="225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HACT03.00.020 未管理原因代码表</w:t>
      </w:r>
    </w:p>
    <w:p>
      <w:pPr>
        <w:numPr>
          <w:ilvl w:val="255"/>
          <w:numId w:val="0"/>
        </w:numPr>
        <w:jc w:val="left"/>
        <w:rPr>
          <w:b/>
        </w:rPr>
      </w:pPr>
      <w:r>
        <w:rPr>
          <w:rFonts w:hint="eastAsia"/>
          <w:b/>
        </w:rPr>
        <w:t>引用标准文号：</w:t>
      </w:r>
      <w:r>
        <w:rPr>
          <w:b/>
        </w:rPr>
        <w:t>无。</w:t>
      </w:r>
    </w:p>
    <w:p>
      <w:r>
        <w:rPr>
          <w:rFonts w:hint="eastAsia"/>
          <w:b/>
        </w:rPr>
        <w:t>说明：</w:t>
      </w:r>
      <w:r>
        <w:t>用于高血压、糖尿病登记中的未管理原因情况填写。</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外出打工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迁居外地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本人出国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不愿管理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其他原因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HACT03.00.021 失访原因代码表</w:t>
      </w:r>
    </w:p>
    <w:p>
      <w:r>
        <w:t>引用标准文号：《国家基本公共卫生服务规范(第三版)》(国卫基层发〔2017〕13号)。</w:t>
      </w:r>
    </w:p>
    <w:p>
      <w:r>
        <w:t>说明：用于居民健康档案随访中的失访原因代码填写。</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外出打工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迁居外地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失踪走失</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不愿访视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多次失访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其他原因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HACT03.00.022 高血压患者症状代码表</w:t>
      </w:r>
    </w:p>
    <w:p>
      <w:pPr>
        <w:numPr>
          <w:ilvl w:val="255"/>
          <w:numId w:val="0"/>
        </w:numPr>
        <w:jc w:val="left"/>
        <w:rPr>
          <w:b/>
        </w:rPr>
      </w:pPr>
      <w:r>
        <w:t>引用标准文号：</w:t>
      </w:r>
      <w:r>
        <w:rPr>
          <w:b/>
        </w:rPr>
        <w:t>《国家基本公共卫生服务规范(第三版)》附件(国卫基层发〔2017〕13号)，高血压患者随访服务记录表中的“症状”。</w:t>
      </w:r>
    </w:p>
    <w:p>
      <w:r>
        <w:rPr>
          <w:rFonts w:hint="eastAsia"/>
          <w:b/>
        </w:rPr>
        <w:t>说明：</w:t>
      </w:r>
      <w:r>
        <w:rPr>
          <w:rFonts w:hint="eastAsia" w:cs="Times New Roman"/>
          <w:szCs w:val="24"/>
          <w:lang w:bidi="ar"/>
        </w:rPr>
        <w:t>执行“国家基本公共卫生服务规范”中的编码，没有执行标准所要求的“ICD－10R”编码。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无症状</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头痛头晕</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恶心呕吐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眼花耳鸣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呼吸困难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心悸胸闷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鼻衄出血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手脚麻木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下肢水肿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HACT03.00.023  糖尿病ICD-10编码</w:t>
      </w:r>
    </w:p>
    <w:p>
      <w:pPr>
        <w:numPr>
          <w:ilvl w:val="255"/>
          <w:numId w:val="0"/>
        </w:numPr>
        <w:jc w:val="left"/>
        <w:rPr>
          <w:b/>
        </w:rPr>
      </w:pPr>
      <w:r>
        <w:rPr>
          <w:rFonts w:hint="eastAsia"/>
          <w:b/>
        </w:rPr>
        <w:t>引用标准文号：</w:t>
      </w:r>
      <w:r>
        <w:rPr>
          <w:b/>
        </w:rPr>
        <w:t>疾病分类与代码国家临床版2.0，《关于启动2019年全国三级公立医院绩效考核有关工作的通知》(国卫办医函〔2019〕371号)。</w:t>
      </w:r>
    </w:p>
    <w:p>
      <w:r>
        <w:rPr>
          <w:rFonts w:hint="eastAsia"/>
          <w:b/>
        </w:rPr>
        <w:t>说明：</w:t>
      </w:r>
      <w:r>
        <w:rPr>
          <w:b/>
        </w:rPr>
        <w:t>根据“国家临床2.0版”筛选糖尿病疾病，编码值采用“主要编码”+“附加编码”。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1"/>
        <w:gridCol w:w="6154"/>
        <w:gridCol w:w="1123"/>
      </w:tblGrid>
      <w:tr>
        <w:tblPrEx>
          <w:tblLayout w:type="fixed"/>
          <w:tblCellMar>
            <w:top w:w="0" w:type="dxa"/>
            <w:left w:w="108" w:type="dxa"/>
            <w:bottom w:w="0" w:type="dxa"/>
            <w:right w:w="108" w:type="dxa"/>
          </w:tblCellMar>
        </w:tblPrEx>
        <w:tc>
          <w:tcPr>
            <w:tcW w:w="2351" w:type="dxa"/>
            <w:shd w:val="clear" w:color="auto" w:fill="auto"/>
            <w:vAlign w:val="center"/>
          </w:tcPr>
          <w:p>
            <w:pPr>
              <w:pStyle w:val="3"/>
              <w:keepNext w:val="0"/>
              <w:keepLines w:val="0"/>
              <w:numPr>
                <w:ilvl w:val="0"/>
                <w:numId w:val="3"/>
              </w:numPr>
              <w:suppressLineNumbers w:val="0"/>
              <w:spacing w:before="0" w:beforeAutospacing="0" w:after="0" w:afterAutospacing="0" w:line="360" w:lineRule="auto"/>
              <w:ind w:left="0" w:right="0"/>
              <w:jc w:val="left"/>
              <w:rPr>
                <w:rFonts w:hint="eastAsia"/>
                <w:b w:val="0"/>
                <w:sz w:val="21"/>
              </w:rPr>
            </w:pPr>
            <w:r>
              <w:rPr>
                <w:rFonts w:hint="eastAsia"/>
                <w:sz w:val="21"/>
              </w:rPr>
              <w:t>值</w:t>
            </w:r>
          </w:p>
        </w:tc>
        <w:tc>
          <w:tcPr>
            <w:tcW w:w="6154"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112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E10.901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成人隐匿性自身免疫性糖尿病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E11.000x001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2型糖尿病性高渗性高血糖状态昏迷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E11.000x005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2型糖尿病性乳酸性酸中毒并昏迷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E11.000x006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2型糖尿病性酮症酸中毒和乳酸性酸中毒并昏迷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2型糖尿病性高血糖状态昏迷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E11.000x012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2型糖尿病性低血糖昏迷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E11.000x013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2型糖尿病性酮症酸中毒并昏迷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2型糖尿病性高渗性昏迷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2型糖尿病性低血糖性昏迷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E11.003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2型糖尿病性酮症酸中毒昏迷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E11.100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2型糖尿病伴有酮症酸中毒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E11.100x011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2型糖尿病性乳酸性酸中毒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E11.100x051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2型糖尿病性酮症酸中毒和乳酸性酸中毒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E11.101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2型糖尿病性酮症酸中毒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E11.102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2型糖尿病性乳酸酸中毒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E11.103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2型糖尿病性酮症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2型糖尿病伴有肾的并发症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E11.200x012+N08.3*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2型糖尿病性前期肾小球肾病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E11.200x013+N08.3*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2型糖尿病性前期基膜肥厚性肾小球肾病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E11.200x014+N08.3*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2型糖尿病性前期肾小球系膜增殖性肾病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E11.200x015+N08.3*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2型糖尿病性前期可逆的肾病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E11.200x016+N08.3*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2型糖尿病性前期微白蛋白尿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E11.200x017+N08.3*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2型糖尿病性前期持续性微白蛋白尿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E11.200x023+N08.3*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E11.200x024+N08.3*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2型糖尿病性弥漫性肾小球硬化症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E11.200x025+N08.3*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2型糖尿病性结节性肾小球硬化症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E11.200x026+N08.3*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2型糖尿病性难愈性肾小球硬化症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E11.200x027+N08.3*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2型糖尿病性大量白蛋白尿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E11.200x028+N08.3*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2型糖尿病性递进性肾病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E11.200x029+N08.3*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2型糖尿病性毛细管间性肾小球硬化症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E11.200x030+N08.3*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2型糖尿病性持续蛋白尿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E11.200x031+N29.8*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2型糖尿病性终末期肾脏病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E11.200x091+N08.3*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2型糖尿病性急性肾功能衰竭</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E11.200x092+N08.3*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2型糖尿病性髓质乳头坏死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E11.200x211+N08.3*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2型糖尿病肾病I期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E11.200x212+N08.3*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2型糖尿病肾病II期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E11.200x213+N08.3*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2型糖尿病肾病III期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E11.200x214+N08.3*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2型糖尿病肾病IV期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E11.200x215+N08.3*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2型糖尿病肾病V期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E11.201+N08.3*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2型糖尿病伴有眼的并发症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E11.300x011+H36.0*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2型糖尿病性背景性视网膜病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E11.300x012+H36.0*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2型糖尿病性背景性出血性视网膜病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E11.300x013+H36.0*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2型糖尿病性背景性硬性渗出物性视网膜病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E11.300x014+H36.0*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2型糖尿病性背景性小动脉瘤视网膜病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E11.300x015+H36.0*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2型糖尿病性背景性静脉扩张性视网膜病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E11.300x021+H36.0*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2型糖尿病性增殖性前期视网膜病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E11.300x022+H36.0*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2型糖尿病性增殖性前期视网膜内微血管异常性视网膜病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E11.300x023+H36.0*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2型糖尿病性增殖性前期絮状斑点性视网膜病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E11.300x024+H36.0*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2型糖尿病性增殖性前期出血性视网膜病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E11.300x025+H36.0*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2型糖尿病性增殖性前期局部缺血性视网膜病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E11.300x031+H36.0*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E11.300x032+H36.0*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E11.300x033+H36.0*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2型糖尿病性增殖性视网膜前出血性视网膜病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E11.300x034+H36.0*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2型糖尿病性增殖性玻璃体出血性视网膜病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E11.300x035+H36.0*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2型糖尿病性增殖性新生血管化性视网膜病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E11.300x036+H36.0*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2型糖尿病性增殖性视网膜牵引性视网膜病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2型糖尿病性局部的水肿斑点性视网膜病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2型糖尿病性全面的水肿斑点性视网膜病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2型糖尿病性星状的斑点性视网膜病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2型糖尿病性环状的黄斑病性视网膜病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E11.300x046+H36.0*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2型糖尿病性缺血性黄斑病性视网膜病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E11.300x047+H36.0*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2型糖尿病性视网膜增厚性视网膜病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E11.300x051+H42.0*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2型糖尿病性新生血管性青光眼</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E11.300x052+H22.1*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2型糖尿病性虹膜红变症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E11.300x053+H36.0*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2型糖尿病性牵拉性视网膜脱离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E11.300x091+H28.0*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2型糖尿病性早发的年龄相关性白内障</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2型糖尿病性视网膜病变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E11.302+H28.0*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2型糖尿病性白内障</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E11.303+H22.1*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2型糖尿病性虹膜炎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2型糖尿病伴有神经的并发症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E11.400x021+G63.2*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2型糖尿病性多发性神经病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E11.400x022+G63.2*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2型糖尿病性胰岛素相关性神经炎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E11.400x024+G63.2*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2型糖尿病性远端对称性周围神经病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E11.400x025+G63.2*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2型糖尿病性小神经纤维周围神经病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E11.400x026+G63.2*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2型糖尿病性感觉运动性周围神经病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E11.400x110+G59.0*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2型糖尿病性单神经病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E11.400x111+G59.0*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2型糖尿病性胸神经根病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E11.400x112+G59.0*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2型糖尿病性躯干神经根病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E11.400x121+G73.0*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2型糖尿病性肌无力综合征</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E11.400x130+G59.0*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2型糖尿病性脑神经麻痹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E11.400x140+G59.0*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2型糖尿病性动眼神经麻痹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E11.400x150+G59.0*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2型糖尿病性外展神经麻痹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E11.400x160+G59.0*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2型糖尿病性股神经病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E11.400x170+G59.0*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2型糖尿病性多发性单神经病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E11.400x180+G59.0*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2型糖尿病性眼肌麻痹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E11.400x190+G59.0*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2型糖尿病性神经根病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E11.400x191+G59.0*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2型糖尿病腰骶神经根神经丛病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E11.400x310+G99.0*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2型糖尿病性出汗异常</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E11.400x311+G99.0*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2型糖尿病性体位性低血压</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E11.400x312+G99.0*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2型糖尿病性自主神经病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E11.400x330+G99.0*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2型糖尿病性腹泻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E11.400x340+G99.0*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2型糖尿病性肛门直肠功能障碍</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E11.400x350+G99.0*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2型糖尿病性食管功能障碍</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E11.400x360+G99.0*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2型糖尿病性性无能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E11.400x380+G99.0*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2型糖尿病性膀胱张力减弱</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E11.400x381+N33.8*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2型糖尿病神经源性膀胱炎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E11.400x390+G99.0*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2型糖尿病性神经性水肿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E11.400x901+G99.0*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2型糖尿病性脊髓病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E11.400x910+G63.2*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2型糖尿病伴神经系统并发症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E11.401+G63.2*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E11.402+G99.0*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2型糖尿病性自主神经病变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E11.403+G63.2*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2型糖尿病性神经炎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E11.404+G99.0*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2型糖尿病性神经源性膀胱</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E11.405+G73.0*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2型糖尿病性肌萎缩</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E11.406+G99.0*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2型糖尿病性胃轻瘫</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2型糖尿病伴有周围循环并发症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E11.500x021+I79.2*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2型糖尿病性周围血管病及坏疽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E11.500x031+I43.8*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2型糖尿病性缺血性心肌病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2型糖尿病性下肢溃疡</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2型糖尿病性足坏疽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2型糖尿病性急性皮肤坏疽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2型糖尿病性细菌性坏疽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E11.500x047</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2型糖尿病性溶血性坏疽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2型糖尿病性富尼埃坏疽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E11.500x049</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2型糖尿病性曼莱尼坏疽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E11.500x050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2型糖尿病足</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E11.500x051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2型糖尿病性下肢感染</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E11.500x061+I79.2*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2型糖尿病性周围血管病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E11.500x062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2型糖尿病性富尼埃氏坏疽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E11.500x063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2型糖尿病性曼莱尼氏坏疽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2型糖尿病性周围血管病变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E11.502+I79.2*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2型糖尿病性心肌病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2型糖尿病足病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2型糖尿病性溃疡</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E11.505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2型糖尿病伴有其他特指的并发症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E11.600x011+M14.6*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2型糖尿病性夏科关节病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E11.600x012+M14.2*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2型糖尿病性手关节综合征</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E11.600x014+M14.2*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2型糖尿病性手掌筋膜纤维瘤病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E11.600x015+M14.2*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2型糖尿病性肩关节周围炎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E11.600x016+M14.2*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2型糖尿病性骨关节病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2型糖尿病性大疱症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2型糖尿病性红斑</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2型糖尿病性潮红</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2型糖尿病性皮肤硬化</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2型糖尿病性皮肤增厚</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E11.600x027+L99.8*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2型糖尿病性糖尿病脂性渐进性坏死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E11.600x028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2型糖尿病性甲周毛细血管扩张</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2型糖尿病性急性牙周脓肿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2型糖尿病性牙周炎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2型糖尿病性低血糖性癫痫发作</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E11.600x043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2型糖尿病性低血糖症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E11.600x051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2型糖尿病伴血糖控制不佳</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E11.600x910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2型糖尿病性肌坏死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E11.600x911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2型糖尿病性坏死性筋膜炎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E11.600x920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2型糖尿病性无菌性肌坏死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E11.600x930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2型糖尿病性缺血性肌坏死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E11.600x970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2型糖尿病性乳腺纤维化病变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E11.601+M14.2*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2型糖尿病性关节病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E11.602+M14.6*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2型糖尿病神经病性关节病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E11.603+L99.8*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2型糖尿病性皮肤病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2型糖尿病伴有多个并发症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2型糖尿病性多发性微血管并发症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2型糖尿病性胰岛素抵抗</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E11.700x022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2型糖尿病性高血压</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E11.700x023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2型糖尿病性肥胖症性高血压</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E11.700x024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2型糖尿病性内脏脂肪沉积增加</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E11.700x025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2型糖尿病性黑棘皮症或血脂障碍或高胰岛素血症或肥胖症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2型糖尿病性足溃疡和周围血管病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2型糖尿病性足溃疡和周围神经病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E11.700x033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2型糖尿病伴多个并发症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E11.800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2型糖尿病伴有并发症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E11.900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2型糖尿病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E12.000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E12.100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营养不良相关性糖尿病伴有酮症酸中毒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E12.200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营养不良相关性糖尿病伴有肾的并发症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E12.300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营养不良相关性糖尿病伴有眼的并发症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E12.400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营养不良相关性糖尿病伴有神经的并发症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E12.500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营养不良相关性糖尿病伴有周围循环并发症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E12.600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营养不良相关性糖尿病伴有其他特指的并发症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E12.700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营养不良相关性糖尿病伴有多个并发症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E12.800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营养不良相关性糖尿病伴有并发症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E12.900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营养不良相关性糖尿病不伴有并发症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E13.000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糖尿病伴有昏迷，其他特指的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E13.100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糖尿病伴有酮症酸中毒，其他特指的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E13.101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继发性糖尿病性酮症酸中毒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E13.102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继发性糖尿病性酮症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E13.200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糖尿病伴有肾的并发症，其他特指的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E13.200x521+N08.3*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青少年发病的成人型糖尿病性肾病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E13.201+N08.3*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脂肪萎缩性糖尿病性肾病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E13.300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糖尿病伴有眼的并发症，其他特指的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E13.300x271+H36.0*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继发性糖尿病性视网膜病变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E13.300x571+H36.0*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青少年发病的成人型糖尿病性视网膜病变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E13.400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糖尿病伴有神经的并发症，其他特指的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E13.400x223+G63.2*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继发性糖尿病性周围神经病变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E13.500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糖尿病伴有周围循环并发症，其他特指的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E13.500x241+I79.2*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继发性糖尿病大血管病变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E13.500x541+I79.2*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青少年发病的成人型糖尿病大血管病变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E13.600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糖尿病伴有其他特指的并发症，其他特指的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E13.700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糖尿病伴有多个并发症,其他特指的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E13.800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糖尿病不伴有并发症，其他特指的</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E13.900x003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正确用药所致类固醇性糖尿病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E13.900x006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胰源性糖尿病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线粒体糖尿病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类固醇性糖尿病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脂肪萎缩性糖尿病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医源性糖尿病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E13.907</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继发性糖尿病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E14.000x001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糖尿病性高渗性高血糖状态昏迷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E14.000x002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糖尿病性高血糖状态昏迷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E14.000x003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糖尿病性低血糖昏迷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E14.000x004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糖尿病性酮症酸中毒并昏迷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E14.000x005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糖尿病性乳酸性酸中毒并昏迷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E14.000x006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糖尿病性酮症酸中毒和乳酸性酸中毒并昏迷</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E14.100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糖尿病伴有酮症酸中毒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E14.100x011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糖尿病性酮症酸中毒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E14.100x012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糖尿病性酮症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E14.100x031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糖尿病性乳酸性酸中毒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E14.100x051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糖尿病性酮症酸中毒和乳酸性酸中毒</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糖尿病伴有肾的并发症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E14.200x012+N08.3*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糖尿病性前期肾小球肾病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E14.200x013+N08.3*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糖尿病性前期基膜肥厚性肾小球肾病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E14.200x014+N08.3*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糖尿病性前期肾小球系膜增殖性肾病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E14.200x015+N08.3*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糖尿病性前期可逆的肾病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E14.200x016+N08.3*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糖尿病性前期微白蛋白尿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E14.200x017+N08.3*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糖尿病性前期持续性微白蛋白尿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E14.200x023+N08.3*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E14.200x024+N08.3*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糖尿病性弥漫性肾小球硬化症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E14.200x025+N08.3*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糖尿病性结节性肾小球硬化症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E14.200x026+N08.3*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糖尿病性难愈性肾小球硬化症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E14.200x027+N08.3*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糖尿病性大量白蛋白尿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E14.200x028+N08.3*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糖尿病性递进性肾病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E14.200x029+N08.3*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糖尿病性毛细管间性肾小球硬化症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E14.200x030+N08.3*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糖尿病性持续蛋白尿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E14.200x031+N29.8*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糖尿病性终末期肾脏病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E14.200x091+N08.3*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糖尿病性急性肾功能衰竭</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E14.200x092+N08.3*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糖尿病性髓质乳头坏死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E14.200x210+N08.3*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糖尿病性肾病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E14.200x211+N08.3*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糖尿病肾病I期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E14.200x212+N08.3*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糖尿病肾病II期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E14.200x213+N08.3*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糖尿病肾病III期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E14.200x214+N08.3*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糖尿病肾病IV期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E14.200x215+N08.3*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糖尿病肾病V期</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糖尿病伴有眼的并发症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E14.300x011+H36.0*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糖尿病性背景性视网膜病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E14.300x012+H36.0*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糖尿病性背景性出血性视网膜病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E14.300x013+H36.0*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糖尿病性背景性硬性渗出物性视网膜病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E14.300x014+H36.0*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糖尿病性背景性小动脉瘤视网膜病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E14.300x015+H36.0*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糖尿病性背景性静脉扩张性视网膜病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E14.300x021+H36.0*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糖尿病性增殖性前期视网膜病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E14.300x022+H36.0*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糖尿病性增殖性前期视网膜内微血管异常性视网膜病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E14.300x023+H36.0*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糖尿病性增殖性前期絮状斑点性视网膜病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E14.300x024+H36.0*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糖尿病性增殖性前期出血性视网膜病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E14.300x025+H36.0*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糖尿病性增殖性前期局部缺血性视网膜病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E14.300x031+H36.0*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E14.300x032+H36.0*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E14.300x033+H36.0*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糖尿病性增殖性视网膜前出血性视网膜病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E14.300x034+H36.0*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糖尿病性增殖性玻璃体出血性视网膜病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E14.300x035+H36.0*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糖尿病性增殖性新生血管化性视网膜病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E14.300x036+H36.0*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糖尿病性增殖性视网膜牵引性视网膜病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E14.300x042+H36.0*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糖尿病性局部的水肿斑点性视网膜病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糖尿病性全面的水肿斑点性视网膜病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E14.300x044+H36.0*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糖尿病性星状的斑点性视网膜病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E14.300x045+H36.0*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糖尿病性环状的黄斑病性视网膜病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E14.300x046+H36.0*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糖尿病性缺血性黄斑病性视网膜病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E14.300x047+H36.0*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糖尿病性视网膜增厚性视网膜病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E14.300x051+H42.0*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糖尿病性新生血管性青光眼</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E14.300x052+H22.1*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糖尿病性虹膜红变症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E14.300x053+H36.0*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糖尿病性牵拉性视网膜脱离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E14.300x054+H22.1*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糖尿病性虹膜炎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E14.300x061+H28.0*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糖尿病性白内障</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E14.300x071+H36.0*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糖尿病性视网膜病变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E14.300x091+H28.0*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糖尿病性早发的年龄相关性白内障</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糖尿病伴有神经的并发症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E14.400x021+G63.2*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糖尿病性多发性神经病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E14.400x022+G63.2*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糖尿病性胰岛素相关性神经炎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E14.400x023+G63.2*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E14.400x024+G63.2*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糖尿病性远端对称性周围神经病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E14.400x025+G63.2*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糖尿病性小神经纤维周围神经病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E14.400x026+G63.2*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糖尿病性感觉运动性周围神经病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E14.400x110+G59.0*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糖尿病性单神经病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E14.400x111+G59.0*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糖尿病性胸神经根病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E14.400x112+G59.0*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糖尿病性躯干神经根病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E14.400x120+G73.0*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糖尿病性肌萎缩</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E14.400x121+G73.0*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糖尿病性肌无力综合征</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E14.400x130+G59.0*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糖尿病性脑神经麻痹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E14.400x140+G59.0*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糖尿病性动眼神经麻痹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E14.400x150+G59.0*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糖尿病性外展神经麻痹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E14.400x160+G59.0*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糖尿病性股神经病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E14.400x170+G59.0*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糖尿病性多发性单神经病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E14.400x180+G59.0*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糖尿病性眼肌麻痹</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E14.400x190+G59.0*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糖尿病性神经根病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E14.400x191+G59.0*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糖尿病腰骶神经根神经丛病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E14.400x310+G99.0*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糖尿病性出汗异常</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E14.400x311+G99.0*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糖尿病性体位性低血压</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E14.400x312+G99.0*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糖尿病性自主神经病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E14.400x330+G99.0*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糖尿病性腹泻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E14.400x340+G99.0*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糖尿病性肛门直肠功能障碍</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E14.400x350+G99.0*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糖尿病性食管功能障碍</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E14.400x360+G99.0*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糖尿病性性无能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E14.400x370+G99.0*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糖尿病性胃轻瘫</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E14.400x380+G99.0*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糖尿病性膀胱张力减弱</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E14.400x381+N33.8*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糖尿病神经源性膀胱炎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E14.400x390+G99.0*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糖尿病性神经性水肿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E14.400x901+G99.0*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糖尿病性脊髓病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E14.400x910+G63.2*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糖尿病伴神经系统并发症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糖尿病伴有周围循环并发症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E14.500x011+I79.2*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糖尿病性周围血管病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E14.500x021+I79.2*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糖尿病性周围血管病及坏疽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E14.500x031+I43.8*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糖尿病性缺血性心肌病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E14.500x032+I43.8*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糖尿病性心肌病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糖尿病性溃疡</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糖尿病性下肢溃疡</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糖尿病性足坏疽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糖尿病性急性皮肤坏疽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糖尿病性细菌性坏疽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E14.500x047</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糖尿病性溶血性坏疽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糖尿病性富尼埃坏疽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E14.500x049</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糖尿病性曼莱尼坏疽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E14.500x050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糖尿病足</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E14.500x051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糖尿病性下肢感染</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E14.500x061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糖尿病性富尼埃氏坏疽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E14.500x062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糖尿病性曼莱尼氏坏疽</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糖尿病伴有其他特指的并发症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E14.600x011+M14.6*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糖尿病性夏科关节病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E14.600x012+M14.2*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糖尿病性手关节综合征</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E14.600x014+M14.2*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糖尿病性手掌筋膜纤维瘤病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E14.600x015+M14.2*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糖尿病性肩关节周围炎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E14.600x016+M14.2*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糖尿病性骨关节病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糖尿病性大疱症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糖尿病性皮肤病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糖尿病性红斑</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糖尿病性潮红</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糖尿病性皮肤硬化</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E14.600x026</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糖尿病性皮肤增厚</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E14.600x027+L99.8*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糖尿病性糖尿病脂性渐进性坏死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E14.600x028</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糖尿病性甲周毛细血管扩张</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糖尿病性急性牙周脓肿</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糖尿病性牙周炎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E14.600x042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糖尿病性低血糖性癫痫发作</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E14.600x043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糖尿病性低血糖症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E14.600x051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糖尿病伴血糖控制不佳</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E14.600x910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糖尿病性肌坏死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E14.600x911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糖尿病性坏死性筋膜炎</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E14.600x920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糖尿病性无菌性肌坏死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E14.600x930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糖尿病性缺血性肌坏死</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E14.600x970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糖尿病性乳腺纤维化病变</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糖尿病伴有多个并发症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糖尿病性多发性微血管并发症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糖尿病性胰岛素抵抗</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E14.700x022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糖尿病性高血压</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E14.700x023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糖尿病性肥胖症性高血压</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E14.700x024</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糖尿病性内脏脂肪沉积增加</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E14.700x025</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糖尿病性黑棘皮症或血脂障碍或高胰岛素血症或肥胖症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糖尿病性足溃疡和周围血管病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E14.700x032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糖尿病性足溃疡和周围神经病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E14.700x033</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糖尿病伴多个并发症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E14.800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糖尿病伴有并发症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E14.900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糖尿病不伴有并发症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E14.900x001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E89.800x002</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肝移植术后糖尿病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O24.000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原有的胰岛素依赖型糖尿病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O24.000x011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妊娠合并1型糖尿病(非胰岛素治疗)</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O24.000x021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妊娠合并1型糖尿病(胰岛素治疗)</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O24.000x031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妊娠期伴原有的1型糖尿病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O24.100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原有的非胰岛素依赖型糖尿病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O24.100x011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妊娠合并2型糖尿病(非胰岛素治疗)</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O24.100x021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妊娠合并2型糖尿病(胰岛素治疗)</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O24.100x031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妊娠期伴原有的2型糖尿病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O24.200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原有与营养不良有关的糖尿病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O24.200x001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妊娠合并营养不良性糖尿病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O24.200x011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妊娠期原有的与营养不良有关的糖尿病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O24.300</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原有的糖尿病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O24.300x001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妊娠合并糖尿病</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235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O24.301</w:t>
            </w:r>
          </w:p>
        </w:tc>
        <w:tc>
          <w:tcPr>
            <w:tcW w:w="6154"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妊娠期伴糖尿病性酮症</w:t>
            </w:r>
          </w:p>
        </w:tc>
        <w:tc>
          <w:tcPr>
            <w:tcW w:w="112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HACT03.00.024 糖尿病患者症状代码表</w:t>
      </w:r>
    </w:p>
    <w:p>
      <w:pPr>
        <w:numPr>
          <w:ilvl w:val="255"/>
          <w:numId w:val="0"/>
        </w:numPr>
        <w:jc w:val="left"/>
        <w:rPr>
          <w:b/>
        </w:rPr>
      </w:pPr>
      <w:r>
        <w:rPr>
          <w:rFonts w:hint="eastAsia"/>
          <w:b/>
        </w:rPr>
        <w:t>引用标准文号：</w:t>
      </w:r>
      <w:r>
        <w:rPr>
          <w:b/>
        </w:rPr>
        <w:t>《国家基本公共卫生服务规范(第三版)》(国卫基层发〔2017〕13号)。</w:t>
      </w:r>
    </w:p>
    <w:p>
      <w:pPr>
        <w:rPr>
          <w:rFonts w:cs="Times New Roman"/>
          <w:szCs w:val="24"/>
          <w:lang w:bidi="ar"/>
        </w:rPr>
      </w:pPr>
      <w:r>
        <w:rPr>
          <w:rFonts w:hint="eastAsia"/>
          <w:b/>
        </w:rPr>
        <w:t>说明：</w:t>
      </w:r>
      <w:r>
        <w:rPr>
          <w:rFonts w:hint="eastAsia" w:cs="Times New Roman"/>
          <w:szCs w:val="24"/>
          <w:lang w:bidi="ar"/>
        </w:rPr>
        <w:t>考虑到实际使用情况，执行“国家基本公共卫生服务规范”中的编码，没有执行标准所要求的“ICD－10R”编码。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无症状</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多饮</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多食</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多尿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视力模糊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感染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手脚麻木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下肢水肿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体重明显下降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pPr>
      <w:r>
        <w:t>HACT03.00.026 中医体质辨识问题代码表</w:t>
      </w:r>
    </w:p>
    <w:p>
      <w:pPr>
        <w:numPr>
          <w:ilvl w:val="255"/>
          <w:numId w:val="0"/>
        </w:numPr>
        <w:jc w:val="left"/>
        <w:rPr>
          <w:b/>
        </w:rPr>
      </w:pPr>
      <w:r>
        <w:rPr>
          <w:rFonts w:hint="eastAsia"/>
          <w:b/>
        </w:rPr>
        <w:t>引用标准文号：</w:t>
      </w:r>
      <w:r>
        <w:rPr>
          <w:b/>
        </w:rPr>
        <w:t>无。</w:t>
      </w:r>
    </w:p>
    <w:p>
      <w:pPr>
        <w:numPr>
          <w:ilvl w:val="255"/>
          <w:numId w:val="0"/>
        </w:numPr>
        <w:rPr>
          <w:rFonts w:cs="宋体"/>
          <w:sz w:val="21"/>
          <w:szCs w:val="21"/>
          <w:lang w:bidi="ar"/>
        </w:rPr>
      </w:pPr>
      <w:r>
        <w:rPr>
          <w:rFonts w:hint="eastAsia"/>
          <w:b/>
        </w:rPr>
        <w:t>说明：</w:t>
      </w:r>
      <w:r>
        <w:rPr>
          <w:b/>
        </w:rPr>
        <w:t>无。</w:t>
      </w:r>
    </w:p>
    <w:tbl>
      <w:tblPr>
        <w:tblStyle w:val="10"/>
        <w:tblW w:w="10100" w:type="dxa"/>
        <w:tblInd w:w="0" w:type="dxa"/>
        <w:tblLayout w:type="fixed"/>
        <w:tblCellMar>
          <w:top w:w="0" w:type="dxa"/>
          <w:left w:w="0" w:type="dxa"/>
          <w:bottom w:w="0" w:type="dxa"/>
          <w:right w:w="0" w:type="dxa"/>
        </w:tblCellMar>
      </w:tblPr>
      <w:tblGrid>
        <w:gridCol w:w="1160"/>
        <w:gridCol w:w="5620"/>
        <w:gridCol w:w="3320"/>
      </w:tblGrid>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值含义</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说明</w:t>
            </w: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您精力充沛吗？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您容易疲乏吗？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您容易气短，呼吸短促，接不上气吗？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4</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您说话声音低弱无力吗？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5</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您感到闷闷不乐、情绪低沉吗？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6</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您容易精神紧张、焦虑不安吗？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7</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您因为生活状态改变而感到孤独、失落吗？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8</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您容易感到害怕或受到惊吓吗？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9</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您感到身体超重不轻松吗？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10</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您眼睛干涩吗？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11</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您手脚发凉吗？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12</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您胃脘部、背部或腰膝部怕冷吗？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13</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您比一般人耐受不了寒冷吗？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14</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您容易患感冒吗？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15</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您没有感冒时也会鼻塞、流鼻涕吗？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16</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您有口粘口腻，或睡眠打鼾吗？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cs="宋体"/>
                <w:color w:val="000000"/>
                <w:sz w:val="22"/>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kern w:val="0"/>
                <w:sz w:val="22"/>
                <w:lang w:bidi="ar"/>
              </w:rPr>
            </w:pPr>
            <w:r>
              <w:rPr>
                <w:rFonts w:hint="eastAsia" w:cs="宋体"/>
                <w:color w:val="000000"/>
                <w:kern w:val="0"/>
                <w:sz w:val="22"/>
                <w:lang w:bidi="ar"/>
              </w:rPr>
              <w:t>17</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kern w:val="0"/>
                <w:sz w:val="22"/>
                <w:lang w:bidi="ar"/>
              </w:rPr>
            </w:pPr>
            <w:r>
              <w:rPr>
                <w:rFonts w:hint="eastAsia" w:cs="宋体"/>
                <w:color w:val="000000"/>
                <w:kern w:val="0"/>
                <w:sz w:val="22"/>
                <w:lang w:bidi="ar"/>
              </w:rPr>
              <w:t>您容易过敏(对药物、食物、气味、花粉或在季节交替、气候变化时)吗？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cs="宋体"/>
                <w:color w:val="000000"/>
                <w:sz w:val="22"/>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18</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您的皮肤容易起荨麻疹吗？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19</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您的皮肤在不知不觉中会出现青紫瘀斑、皮下出血吗？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20</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您的皮肤一抓就红，并出现抓痕吗？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21</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您皮肤或口唇干吗？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22</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您有肢体麻木或固定部位疼痛的感觉吗？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23</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您面部或鼻部有油腻感或者油亮发光吗？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24</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您面色或目眶晦黯，或出现褐色斑块/斑点吗？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25</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您有皮肤湿疹、疮疖吗？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26</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您感到口干咽燥、总想喝水吗？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27</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您感到口苦或嘴里有异味吗？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28</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您腹部肥大吗？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29</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您吃(喝)凉的东西会感到不舒服或者怕吃(喝)凉的东西吗？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30</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您有大便黏滞不爽、解不尽的感觉吗？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31</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您容易大便干燥吗？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32</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您舌苔厚腻或有舌苔厚厚的感觉吗？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kern w:val="0"/>
                <w:sz w:val="22"/>
                <w:lang w:bidi="ar"/>
              </w:rPr>
            </w:pPr>
            <w:r>
              <w:rPr>
                <w:rFonts w:hint="eastAsia" w:cs="宋体"/>
                <w:color w:val="000000"/>
                <w:kern w:val="0"/>
                <w:sz w:val="22"/>
                <w:lang w:bidi="ar"/>
              </w:rPr>
              <w:t>33</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kern w:val="0"/>
                <w:sz w:val="22"/>
                <w:lang w:bidi="ar"/>
              </w:rPr>
            </w:pPr>
            <w:r>
              <w:rPr>
                <w:rFonts w:hint="eastAsia" w:cs="宋体"/>
                <w:color w:val="000000"/>
                <w:kern w:val="0"/>
                <w:sz w:val="22"/>
                <w:lang w:bidi="ar"/>
              </w:rPr>
              <w:t>您舌下静脉瘀紫或增粗吗？</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bl>
    <w:p/>
    <w:p>
      <w:pPr>
        <w:pStyle w:val="3"/>
        <w:numPr>
          <w:ilvl w:val="0"/>
          <w:numId w:val="3"/>
        </w:numPr>
        <w:spacing w:before="0" w:after="0" w:line="360" w:lineRule="auto"/>
        <w:jc w:val="left"/>
      </w:pPr>
      <w:r>
        <w:t>HACT03.00.027 中医体质辨识答案代码表</w:t>
      </w:r>
    </w:p>
    <w:p>
      <w:pPr>
        <w:numPr>
          <w:ilvl w:val="255"/>
          <w:numId w:val="0"/>
        </w:numPr>
        <w:jc w:val="left"/>
        <w:rPr>
          <w:b/>
        </w:rPr>
      </w:pPr>
      <w:r>
        <w:rPr>
          <w:rFonts w:hint="eastAsia"/>
          <w:b/>
        </w:rPr>
        <w:t>引用标准文号：</w:t>
      </w:r>
      <w:r>
        <w:rPr>
          <w:b/>
        </w:rPr>
        <w:t>无。</w:t>
      </w:r>
    </w:p>
    <w:p>
      <w:pPr>
        <w:numPr>
          <w:ilvl w:val="255"/>
          <w:numId w:val="0"/>
        </w:numPr>
        <w:rPr>
          <w:rFonts w:cs="宋体"/>
          <w:sz w:val="21"/>
          <w:szCs w:val="21"/>
          <w:lang w:bidi="ar"/>
        </w:rPr>
      </w:pPr>
      <w:r>
        <w:rPr>
          <w:rFonts w:hint="eastAsia"/>
          <w:b/>
        </w:rPr>
        <w:t>说明：</w:t>
      </w:r>
      <w:r>
        <w:rPr>
          <w:b/>
        </w:rPr>
        <w:t>无。</w:t>
      </w:r>
    </w:p>
    <w:tbl>
      <w:tblPr>
        <w:tblStyle w:val="10"/>
        <w:tblW w:w="10100" w:type="dxa"/>
        <w:tblInd w:w="0" w:type="dxa"/>
        <w:tblLayout w:type="fixed"/>
        <w:tblCellMar>
          <w:top w:w="0" w:type="dxa"/>
          <w:left w:w="0" w:type="dxa"/>
          <w:bottom w:w="0" w:type="dxa"/>
          <w:right w:w="0" w:type="dxa"/>
        </w:tblCellMar>
      </w:tblPr>
      <w:tblGrid>
        <w:gridCol w:w="1160"/>
        <w:gridCol w:w="5620"/>
        <w:gridCol w:w="3320"/>
      </w:tblGrid>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值含义</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cs="宋体"/>
                <w:b/>
                <w:color w:val="000000"/>
                <w:sz w:val="21"/>
                <w:szCs w:val="21"/>
              </w:rPr>
            </w:pPr>
            <w:r>
              <w:rPr>
                <w:rFonts w:hint="eastAsia" w:cs="宋体"/>
                <w:b/>
                <w:color w:val="000000"/>
                <w:kern w:val="0"/>
                <w:sz w:val="21"/>
                <w:szCs w:val="21"/>
                <w:lang w:bidi="ar"/>
              </w:rPr>
              <w:t>说明</w:t>
            </w: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1</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没有(根本不/从来没有)</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2</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很少(有一点/偶尔)</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3</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有时(有些/少数时间)</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4</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经常(相当/多数时间)</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r>
        <w:tblPrEx>
          <w:tblLayout w:type="fixed"/>
          <w:tblCellMar>
            <w:top w:w="0" w:type="dxa"/>
            <w:left w:w="0" w:type="dxa"/>
            <w:bottom w:w="0" w:type="dxa"/>
            <w:right w:w="0" w:type="dxa"/>
          </w:tblCellMar>
        </w:tblPrEx>
        <w:trPr>
          <w:trHeight w:val="280" w:hRule="atLeast"/>
        </w:trPr>
        <w:tc>
          <w:tcPr>
            <w:tcW w:w="11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5</w:t>
            </w:r>
          </w:p>
        </w:tc>
        <w:tc>
          <w:tcPr>
            <w:tcW w:w="5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cs="宋体"/>
                <w:color w:val="000000"/>
                <w:sz w:val="22"/>
              </w:rPr>
            </w:pPr>
            <w:r>
              <w:rPr>
                <w:rFonts w:hint="eastAsia" w:cs="宋体"/>
                <w:color w:val="000000"/>
                <w:kern w:val="0"/>
                <w:sz w:val="22"/>
                <w:lang w:bidi="ar"/>
              </w:rPr>
              <w:t>总是(非常/每天)</w:t>
            </w:r>
          </w:p>
        </w:tc>
        <w:tc>
          <w:tcPr>
            <w:tcW w:w="3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left"/>
              <w:rPr>
                <w:rFonts w:hint="eastAsia" w:cs="宋体"/>
                <w:color w:val="000000"/>
                <w:sz w:val="21"/>
                <w:szCs w:val="21"/>
              </w:rPr>
            </w:pPr>
          </w:p>
        </w:tc>
      </w:tr>
    </w:tbl>
    <w:p>
      <w:pPr>
        <w:jc w:val="left"/>
      </w:pPr>
    </w:p>
    <w:p>
      <w:pPr>
        <w:pStyle w:val="3"/>
        <w:numPr>
          <w:ilvl w:val="0"/>
          <w:numId w:val="3"/>
        </w:numPr>
        <w:spacing w:before="0" w:after="0" w:line="360" w:lineRule="auto"/>
        <w:jc w:val="left"/>
      </w:pPr>
      <w:r>
        <w:t>HACT13.00.001 疫区接触史代码表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6738"/>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6738"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169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673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无疫区接触史</w:t>
            </w:r>
          </w:p>
        </w:tc>
        <w:tc>
          <w:tcPr>
            <w:tcW w:w="16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673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发病前14天内有病例报告社区的旅行史或居住史</w:t>
            </w:r>
          </w:p>
        </w:tc>
        <w:tc>
          <w:tcPr>
            <w:tcW w:w="16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673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发病前14天内与新型冠状病毒感染的患者或无症状感染者有接触史</w:t>
            </w:r>
          </w:p>
        </w:tc>
        <w:tc>
          <w:tcPr>
            <w:tcW w:w="16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673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发病前14天内曾接触过来自病例报告社区的发热或呼吸道症状患者</w:t>
            </w:r>
          </w:p>
        </w:tc>
        <w:tc>
          <w:tcPr>
            <w:tcW w:w="16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199"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673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聚集性发病（2周内在小范围内出现2例以上发热或呼吸道症状病例）</w:t>
            </w:r>
          </w:p>
        </w:tc>
        <w:tc>
          <w:tcPr>
            <w:tcW w:w="16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HACT13.00.002 监测症状代码表</w:t>
      </w:r>
    </w:p>
    <w:p>
      <w:pPr>
        <w:jc w:val="left"/>
        <w:rPr>
          <w:b/>
        </w:rPr>
      </w:pPr>
      <w:r>
        <w:rPr>
          <w:rFonts w:hint="eastAsia"/>
          <w:b/>
        </w:rPr>
        <w:t>引用标准文号：</w:t>
      </w:r>
      <w:r>
        <w:rPr>
          <w:b/>
        </w:rPr>
        <w:t>疾病分类与代码国家临床版2.0，《关于启动2019年全国三级公立医院绩效考核有关工作的通知》(国卫办医函〔2019〕371号)。</w:t>
      </w:r>
    </w:p>
    <w:p>
      <w:pPr>
        <w:jc w:val="left"/>
        <w:rPr>
          <w:b/>
        </w:rPr>
      </w:pPr>
      <w:r>
        <w:rPr>
          <w:rFonts w:hint="eastAsia"/>
          <w:b/>
        </w:rPr>
        <w:t>说明：</w:t>
      </w:r>
      <w:r>
        <w:rPr>
          <w:b/>
        </w:rPr>
        <w:t>从国家临床版2.0筛选“</w:t>
      </w:r>
      <w:r>
        <w:rPr>
          <w:rFonts w:hint="eastAsia" w:cs="Times New Roman"/>
          <w:b/>
          <w:color w:val="000000"/>
          <w:sz w:val="21"/>
          <w:szCs w:val="21"/>
          <w:lang w:bidi="ar"/>
        </w:rPr>
        <w:t>全身症状\呼吸道症状\消化道症状\皮疹症状出\血症状神经症状</w:t>
      </w:r>
      <w:r>
        <w:rPr>
          <w:b/>
        </w:rPr>
        <w:t>”编码。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说明（按症状做排序处理）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R50.9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发热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全身症状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R51.x</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头痛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全身症状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R53.x</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乏力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全身症状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M79.1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肌肉酸痛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全身症状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M25.5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关节痛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全身症状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H10.9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结膜炎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全身症状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R07.0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咽痛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呼吸道症状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R05.x</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咳嗽</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呼吸道症状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R06.7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流涕</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呼吸道症状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R09.8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胸闷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呼吸道症状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R06.0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呼吸困难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呼吸道症状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R49.2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鼻塞</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呼吸道症状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K52.9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腹泻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消化道症状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R10.4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腹痛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消化道症状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R11.x</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呕吐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消化道症状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R23.8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斑丘疹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皮疹症状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L13.0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水疱疹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皮疹症状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R21.x</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针尖样皮疹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皮疹症状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L98.9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焦痂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皮疹症状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R23.3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瘀点瘀斑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出血症状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K92.0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呕血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出血症状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R04.2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咯血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出血症状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R31.x</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血尿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出血症状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K92.2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血便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出血症状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H11.3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结膜出血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出血症状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R56.0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发热伴惊厥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神经症状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G70.9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肌无力</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神经症状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H53.8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视物模糊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神经症状</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R43.1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嗅觉减退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神经症状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R43.2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味觉减退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szCs w:val="21"/>
              </w:rPr>
              <w:t>神经症状</w:t>
            </w:r>
          </w:p>
        </w:tc>
      </w:tr>
    </w:tbl>
    <w:p>
      <w:pPr>
        <w:jc w:val="left"/>
      </w:pPr>
    </w:p>
    <w:p>
      <w:pPr>
        <w:pStyle w:val="3"/>
        <w:numPr>
          <w:ilvl w:val="0"/>
          <w:numId w:val="3"/>
        </w:numPr>
        <w:spacing w:before="0" w:after="0" w:line="360" w:lineRule="auto"/>
        <w:jc w:val="left"/>
      </w:pPr>
      <w:r>
        <w:t>HACT13.00.003 处方分类代码表</w:t>
      </w:r>
    </w:p>
    <w:p>
      <w:pPr>
        <w:numPr>
          <w:ilvl w:val="255"/>
          <w:numId w:val="0"/>
        </w:numPr>
        <w:jc w:val="left"/>
        <w:rPr>
          <w:b/>
        </w:rPr>
      </w:pPr>
      <w:r>
        <w:rPr>
          <w:rFonts w:hint="eastAsia"/>
          <w:b/>
        </w:rPr>
        <w:t>引用标准文号：</w:t>
      </w:r>
      <w:r>
        <w:rPr>
          <w:b/>
        </w:rPr>
        <w:t>《处方管理办法》(中华人民共和国卫生部令第53号)中“附件1处方标准”。</w:t>
      </w:r>
    </w:p>
    <w:p>
      <w:pPr>
        <w:rPr>
          <w:b/>
        </w:rPr>
      </w:pPr>
      <w:r>
        <w:rPr>
          <w:rFonts w:hint="eastAsia"/>
          <w:b/>
        </w:rPr>
        <w:t>说明：</w:t>
      </w:r>
      <w:r>
        <w:rPr>
          <w:b/>
        </w:rPr>
        <w:t>按处方管理标准进行分类(普通,急诊,儿科,麻、精一,精二共5类)，而非按药品类别的标准分类(西药处方,中药饮片处方,中成药处方)。</w:t>
      </w:r>
    </w:p>
    <w:p>
      <w:pPr>
        <w:rPr>
          <w:b/>
        </w:rPr>
      </w:pPr>
      <w:r>
        <w:rPr>
          <w:b/>
        </w:rPr>
        <w:drawing>
          <wp:inline distT="0" distB="0" distL="114300" distR="114300">
            <wp:extent cx="5222240" cy="2402205"/>
            <wp:effectExtent l="0" t="0" r="1651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22240" cy="2402205"/>
                    </a:xfrm>
                    <a:prstGeom prst="rect">
                      <a:avLst/>
                    </a:prstGeom>
                  </pic:spPr>
                </pic:pic>
              </a:graphicData>
            </a:graphic>
          </wp:inline>
        </w:drawing>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普通处方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急诊处方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儿科处方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bCs/>
                <w:sz w:val="21"/>
              </w:rPr>
            </w:pPr>
            <w:r>
              <w:rPr>
                <w:rFonts w:hint="eastAsia"/>
                <w:bCs/>
              </w:rPr>
              <w:t>麻、精一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bCs/>
                <w:sz w:val="21"/>
              </w:rPr>
            </w:pPr>
            <w:r>
              <w:rPr>
                <w:rFonts w:hint="eastAsia"/>
                <w:bCs/>
              </w:rPr>
              <w:t>精二</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bCs/>
              </w:rPr>
            </w:pPr>
            <w:r>
              <w:rPr>
                <w:rFonts w:hint="eastAsia"/>
                <w:bCs/>
              </w:rPr>
              <w:t>其他处方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增加</w:t>
            </w:r>
          </w:p>
        </w:tc>
      </w:tr>
    </w:tbl>
    <w:p>
      <w:pPr>
        <w:jc w:val="left"/>
      </w:pPr>
    </w:p>
    <w:p>
      <w:pPr>
        <w:pStyle w:val="3"/>
        <w:numPr>
          <w:ilvl w:val="0"/>
          <w:numId w:val="3"/>
        </w:numPr>
        <w:spacing w:before="0" w:after="0" w:line="360" w:lineRule="auto"/>
        <w:jc w:val="left"/>
      </w:pPr>
      <w:r>
        <w:t>HACT13.00.004 药品剂型分类代码表</w:t>
      </w:r>
    </w:p>
    <w:p>
      <w:pPr>
        <w:numPr>
          <w:ilvl w:val="255"/>
          <w:numId w:val="0"/>
        </w:numPr>
        <w:jc w:val="left"/>
        <w:rPr>
          <w:b/>
        </w:rPr>
      </w:pPr>
      <w:r>
        <w:rPr>
          <w:rFonts w:hint="eastAsia"/>
          <w:b/>
        </w:rPr>
        <w:t>引用标准文号：</w:t>
      </w:r>
      <w:r>
        <w:rPr>
          <w:b/>
        </w:rPr>
        <w:t>WS 364.16-2011,CV08.50.002药物剂型代码表。</w:t>
      </w:r>
    </w:p>
    <w:p>
      <w:r>
        <w:rPr>
          <w:rFonts w:hint="eastAsia"/>
          <w:b/>
        </w:rPr>
        <w:t>说明：</w:t>
      </w:r>
      <w:r>
        <w:rPr>
          <w:b/>
        </w:rPr>
        <w:t>在基础上进行增补代码。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337"/>
        <w:gridCol w:w="5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33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509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原料</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0000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原料</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口服常释普通片剂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片剂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含素片、糖衣片、薄膜衣片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肠溶片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分散片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咀嚼片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口腔崩解片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泡腾片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其他口服常释普通片剂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含双层片、多层片、异型片、划痕片、压制片、糖胶片等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口服普通胶囊剂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胶囊剂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肠溶胶囊剂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软胶囊剂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含胶丸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肠溶软胶囊剂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含肠溶胶丸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其他口服普通胶囊剂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含结肠溶胶囊、微丸胶囊、微囊胶囊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口服缓控释制剂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缓释片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肠溶缓释片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缓释胶囊</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肠溶缓释胶囊</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控释片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控释胶囊</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其他口服缓控释制剂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含速释片、长效片、双释放肠溶胶囊、速释胶囊、缓释混悬剂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颗粒剂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颗粒剂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含无糖、低糖、含糖型颗粒剂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混悬颗粒剂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泡腾颗粒剂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缓释颗粒剂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其他颗粒剂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含细粒剂、胶体颗粒、速释颗粒药等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丸剂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丸剂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含小丸、薄膜衣丸、糖衣丸、包衣小丸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滴丸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含薄膜衣滴丸、糖衣滴丸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蜜丸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含大蜜丸、小蜜丸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水蜜丸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浓缩丸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含浓缩蜜丸、浓缩水丸、炭衣浓缩水丸、浓缩水蜜丸、浓缩微丸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0508</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糊丸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0509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蜡丸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0510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微丸</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包含微丸、包衣微丸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口服散剂、粉剂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口服散剂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口服粉剂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含冻干粉、干粉剂、乳干粉、口服溶液用粉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口服溶液剂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口服溶液剂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含口服液、有糖型口服液、有糖型溶液剂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口服混悬剂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含干混悬剂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口服乳剂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含乳液、干悬乳剂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滴剂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含溶液滴剂、混悬滴剂、乳剂滴剂、胶囊型滴剂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糖浆剂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含蜜浆剂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合剂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0708</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露剂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0709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0711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口服膏剂、口服凝胶剂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煎膏剂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即膏滋、膏方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浸膏剂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流浸膏剂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口服凝胶剂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含混悬凝胶剂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胶剂、锭剂、茶剂、曲剂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锭剂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含糖锭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含袋泡剂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曲剂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口腔用片剂、舌下片剂及喉用片剂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口腔贴片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含口含片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舌下片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喉片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熨剂、炙剂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熨剂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炙剂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鼻用制剂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鼻用液体制剂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含吸入剂、滴鼻剂、洗鼻剂；不含吸入喷雾剂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鼻用固体制剂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含鼻用溶液片、鼻用散剂、鼻用粉雾剂、鼻用棒剂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耳用制剂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耳用液体制剂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含滴耳剂、洗耳剂、耳用喷雾剂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耳用固体制剂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含耳用散剂、耳用丸剂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眼用制剂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1401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眼用液体制剂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含滴眼剂、洗眼剂、眼内注射溶液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1402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眼用半固体制剂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含眼膏、眼用乳膏、眼用凝胶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外用剂型、凝胶剂、乳胶剂、乳膏剂、软膏剂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含外用环形片、坐药片、异型片、纸片、膜片、贴脐片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凝胶剂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含胶浆剂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乳胶剂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乳膏剂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含霜剂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软膏剂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含水膏剂、油膏剂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贴膏剂、膏药</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贴剂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含贴片、透皮贴剂、缓控释透皮贴剂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橡皮膏剂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含橡胶膏剂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凝胶膏剂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即巴布膏剂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膏药剂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含湿敷剂、贴敷剂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其他贴膏剂、膏药</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膜剂、海绵剂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口腔膜剂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牙用缓释膜剂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阴道膜剂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外用膜剂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海绵剂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18</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栓剂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1801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阴道栓</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含棉栓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1802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肛门栓</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含直肠栓、痔疮栓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阴道用片剂、软膏剂、凝胶剂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阴道泡腾片</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阴道胶囊</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阴道软胶囊</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阴道泡腾胶囊</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1907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阴道凝胶剂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棒剂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药棒</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蜡棒</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外用散剂、粉剂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外用散剂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2102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外用粉剂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含干粉剂、冻干粉、口服溶液用粉、撒布粉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外用液体剂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外用溶液剂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外用混悬液</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含漱液</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冲洗液</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酊剂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2208</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灌肠剂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2209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灌注液</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洗剂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油剂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涂膜剂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涂剂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含涂布剂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搽剂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2215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擦剂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气雾剂（含抛射剂）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吸入气雾剂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含溶液、乳状液、混悬液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非吸入气雾剂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含溶液、乳状液、混悬液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2303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外用气雾剂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含溶液、乳状液、混悬液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粉雾剂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2401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吸入粉雾剂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含胶囊型、泡囊型、多剂量贮库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喷雾剂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2501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吸入喷雾剂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含溶液、乳状液、混悬液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2502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非吸入喷雾剂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指舌下、咽喉、口内等部位喷雾剂。含溶液、乳状液、混悬液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2503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外用喷雾剂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含溶液、乳状液、混悬液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注射液</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含水针、油针、注射用混悬剂、注射用乳剂、脂质体注射液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注射用无菌粉末</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含注射用干乳剂、粉针剂、冻干粉针、溶媒结晶粉针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注射用脂质体</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2604</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注射用无菌粉末（带溶媒或装置）</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含注射用干乳剂、粉针剂、冻干粉针、溶媒结晶粉针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2605</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2606</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注射溶媒</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宫内节育系统、植入剂、缓释植入剂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宫内节育系统</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缓释植入剂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2703</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植入剂</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试剂盒（诊断用试剂）、药盒</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9001</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试剂盒</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9002</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药盒</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9099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其他剂型</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9999</w:t>
            </w:r>
          </w:p>
        </w:tc>
        <w:tc>
          <w:tcPr>
            <w:tcW w:w="333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其他剂型</w:t>
            </w:r>
          </w:p>
        </w:tc>
        <w:tc>
          <w:tcPr>
            <w:tcW w:w="509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含泡沫剂、湿巾等剂型</w:t>
            </w:r>
          </w:p>
        </w:tc>
      </w:tr>
    </w:tbl>
    <w:p>
      <w:pPr>
        <w:jc w:val="left"/>
      </w:pPr>
    </w:p>
    <w:p>
      <w:pPr>
        <w:pStyle w:val="3"/>
        <w:numPr>
          <w:ilvl w:val="0"/>
          <w:numId w:val="3"/>
        </w:numPr>
        <w:spacing w:before="0" w:after="0" w:line="360" w:lineRule="auto"/>
        <w:jc w:val="left"/>
      </w:pPr>
      <w:r>
        <w:t>HACT13.00.006 中药使用方法代码表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口服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水煎服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热服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熬膏服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制丸</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装胶囊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冲化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打粉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煎洗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泡脚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漱口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灌肠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外用</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HACT13.00.007 中药服药频次代码表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每日一剂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每日二剂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每日三剂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每日一次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每日二次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每日三次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每日多次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HACT13.00.008  中药煎煮方法代码表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先煎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后下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包煎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另煎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捣碎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烊化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冲服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兑服</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HACT13.00.009 常住类型分类代码表</w:t>
      </w:r>
    </w:p>
    <w:p>
      <w:pPr>
        <w:numPr>
          <w:ilvl w:val="255"/>
          <w:numId w:val="0"/>
        </w:numPr>
        <w:jc w:val="left"/>
        <w:rPr>
          <w:b/>
        </w:rPr>
      </w:pPr>
      <w:r>
        <w:rPr>
          <w:rFonts w:hint="eastAsia"/>
          <w:b/>
        </w:rPr>
        <w:t>引用标准文号：</w:t>
      </w:r>
      <w:r>
        <w:rPr>
          <w:b/>
        </w:rPr>
        <w:t>《国家基本公共卫生服务规范(第三版)》(国卫基层发〔2017〕13号)</w:t>
      </w:r>
    </w:p>
    <w:p>
      <w:pPr>
        <w:rPr>
          <w:b/>
        </w:rPr>
      </w:pPr>
      <w:r>
        <w:rPr>
          <w:rFonts w:hint="eastAsia"/>
          <w:b/>
        </w:rPr>
        <w:t>说明</w:t>
      </w:r>
      <w:r>
        <w:rPr>
          <w:b/>
        </w:rPr>
        <w:t>:增加“3,4,9三项”。</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户籍常住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非户籍常住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港澳台常住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外籍常住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非常住居民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HACT13.00.010 家医签约标识代码表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未签</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签约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退约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HACT13.00.012 门诊就诊时间类别代码表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未分类或急诊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上午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下午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晚上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HACT13.00.013 门诊和急诊就诊类别代码表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门诊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HACT13.00.014 挂号患者就诊状态代码表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未就诊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已就诊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HACT13.00.015 初诊和复诊类别标识代码表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初诊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复诊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HACT13.00.016 挂号患者的退号标识代码表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退号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HACT13.00.017 临床</w:t>
      </w:r>
      <w:r>
        <w:rPr>
          <w:color w:val="666666"/>
        </w:rPr>
        <w:t>意识障碍分类</w:t>
      </w:r>
      <w:r>
        <w:t>代码表</w:t>
      </w:r>
    </w:p>
    <w:p>
      <w:pPr>
        <w:numPr>
          <w:ilvl w:val="255"/>
          <w:numId w:val="0"/>
        </w:numPr>
        <w:jc w:val="left"/>
        <w:rPr>
          <w:b/>
        </w:rPr>
      </w:pPr>
      <w:r>
        <w:rPr>
          <w:rFonts w:hint="eastAsia"/>
          <w:b/>
        </w:rPr>
        <w:t>引用标准文号：</w:t>
      </w:r>
      <w:r>
        <w:rPr>
          <w:b/>
        </w:rPr>
        <w:t>《临床诊断学》教材，ISBN-978-7-5132-3478-8。</w:t>
      </w:r>
    </w:p>
    <w:p>
      <w:r>
        <w:rPr>
          <w:rFonts w:hint="eastAsia"/>
          <w:b/>
        </w:rPr>
        <w:t>说明：</w:t>
      </w:r>
      <w:r>
        <w:rPr>
          <w:b/>
        </w:rPr>
        <w:t>采用以觉醒改变为主的意识障碍和以意识内容改变为主的意识障碍分类组合。</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清醒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意识模糊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谵妄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嗜睡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昏睡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昏迷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HACT13.00.019 中药处方分类代码表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中药饮片</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中药颗粒剂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协定处方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膏方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HACT13.00.020 中药煎药方法代码表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水煎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浓煎</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HACT13.00.022 门急诊收费或退费标志代码表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收费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退费</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HACT13.00.023 医疗财务收入科目代码表</w:t>
      </w:r>
    </w:p>
    <w:p>
      <w:pPr>
        <w:numPr>
          <w:ilvl w:val="255"/>
          <w:numId w:val="0"/>
        </w:numPr>
        <w:jc w:val="left"/>
        <w:rPr>
          <w:b/>
          <w:bCs/>
        </w:rPr>
      </w:pPr>
      <w:r>
        <w:rPr>
          <w:rFonts w:hint="eastAsia"/>
          <w:b/>
          <w:bCs/>
        </w:rPr>
        <w:t>引用标准文号：</w:t>
      </w:r>
    </w:p>
    <w:p>
      <w:pPr>
        <w:numPr>
          <w:ilvl w:val="255"/>
          <w:numId w:val="0"/>
        </w:numPr>
        <w:jc w:val="left"/>
        <w:rPr>
          <w:rFonts w:ascii="Arial" w:hAnsi="Arial" w:cs="Arial"/>
          <w:szCs w:val="24"/>
          <w:shd w:val="clear" w:color="auto" w:fill="FFFFFF"/>
        </w:rPr>
      </w:pPr>
      <w:r>
        <w:rPr>
          <w:rFonts w:ascii="Arial" w:hAnsi="Arial" w:cs="Arial"/>
          <w:szCs w:val="24"/>
          <w:shd w:val="clear" w:color="auto" w:fill="FFFFFF"/>
        </w:rPr>
        <w:t>1)关于印发《政府会计制度-行政事业单位会计科目和报表》的通知(财会〔2017〕25号)；</w:t>
      </w:r>
    </w:p>
    <w:p>
      <w:pPr>
        <w:numPr>
          <w:ilvl w:val="255"/>
          <w:numId w:val="0"/>
        </w:numPr>
        <w:jc w:val="left"/>
      </w:pPr>
      <w:r>
        <w:rPr>
          <w:rFonts w:ascii="Arial" w:hAnsi="Arial" w:cs="Arial"/>
          <w:szCs w:val="24"/>
          <w:shd w:val="clear" w:color="auto" w:fill="FFFFFF"/>
        </w:rPr>
        <w:t>2)关于印发医院执行《政府会计制度-行政事业单位会计科目和报表》的补充规定和衔接规定的通知(财会〔2018〕24号);</w:t>
      </w:r>
    </w:p>
    <w:p>
      <w:pPr>
        <w:jc w:val="left"/>
        <w:rPr>
          <w:rFonts w:ascii="Arial" w:hAnsi="Arial" w:cs="Arial"/>
          <w:szCs w:val="24"/>
          <w:shd w:val="clear" w:color="auto" w:fill="FFFFFF"/>
        </w:rPr>
      </w:pPr>
      <w:r>
        <w:t>3)</w:t>
      </w:r>
      <w:r>
        <w:rPr>
          <w:rFonts w:ascii="Arial" w:hAnsi="Arial" w:cs="Arial"/>
          <w:szCs w:val="24"/>
          <w:shd w:val="clear" w:color="auto" w:fill="FFFFFF"/>
        </w:rPr>
        <w:t>关于印发基层医疗卫生机构执行《政府会计制度-行政事业单位会计科目和报表》的补充规定和衔接规定的通知(财会〔2018〕25号)。</w:t>
      </w:r>
    </w:p>
    <w:p>
      <w:pPr>
        <w:jc w:val="left"/>
      </w:pPr>
      <w:r>
        <w:rPr>
          <w:rFonts w:hint="eastAsia"/>
        </w:rPr>
        <w:t>说明：</w:t>
      </w:r>
    </w:p>
    <w:p>
      <w:pPr>
        <w:numPr>
          <w:ilvl w:val="255"/>
          <w:numId w:val="0"/>
        </w:numPr>
        <w:jc w:val="left"/>
      </w:pPr>
      <w:r>
        <w:t>1)按照</w:t>
      </w:r>
      <w:r>
        <w:rPr>
          <w:rFonts w:hint="eastAsia" w:cs="Times New Roman"/>
          <w:sz w:val="21"/>
          <w:lang w:bidi="ar"/>
        </w:rPr>
        <w:t>《关于贯彻实施政府会计准则制度的通知》(财会〔2018〕21号)</w:t>
      </w:r>
      <w:r>
        <w:rPr>
          <w:rFonts w:cs="Times New Roman"/>
          <w:sz w:val="21"/>
          <w:lang w:bidi="ar"/>
        </w:rPr>
        <w:t>，</w:t>
      </w:r>
      <w:r>
        <w:t>自2019年1月1日起，政府会计准则制度在全国各级各类行政事业单位全面施行,不再执行《医院会计制度》(财会〔2010〕27号)、《基层医疗卫生机构会计制度》(财会〔2010〕26号)制度；</w:t>
      </w:r>
    </w:p>
    <w:p>
      <w:pPr>
        <w:jc w:val="left"/>
      </w:pPr>
      <w:r>
        <w:t>2)通过对“关于医院执行《政府会计制度-行政事业单位会计科目和报表》的补充规定(财会〔2018〕24号)的附表1和关于基层医疗卫生机构执行《政府会计制度-行政事业单位会计科目和报表》的补充规定(财会〔2018〕25号)的附表1”中的“事业收入\医疗收入”类明细科目表进行归并整合后，形成“医疗收入科目代码表”,适应于公立医院和基层医疗卫生机构的门诊医疗收入、住院医疗收入的收费科目类别编码。</w:t>
      </w:r>
    </w:p>
    <w:tbl>
      <w:tblPr>
        <w:tblStyle w:val="10"/>
        <w:tblW w:w="9245" w:type="dxa"/>
        <w:tblInd w:w="0" w:type="dxa"/>
        <w:tblLayout w:type="fixed"/>
        <w:tblCellMar>
          <w:top w:w="0" w:type="dxa"/>
          <w:left w:w="0" w:type="dxa"/>
          <w:bottom w:w="0" w:type="dxa"/>
          <w:right w:w="0" w:type="dxa"/>
        </w:tblCellMar>
      </w:tblPr>
      <w:tblGrid>
        <w:gridCol w:w="1055"/>
        <w:gridCol w:w="4010"/>
        <w:gridCol w:w="4180"/>
      </w:tblGrid>
      <w:tr>
        <w:tblPrEx>
          <w:tblLayout w:type="fixed"/>
          <w:tblCellMar>
            <w:top w:w="0" w:type="dxa"/>
            <w:left w:w="0" w:type="dxa"/>
            <w:bottom w:w="0" w:type="dxa"/>
            <w:right w:w="0" w:type="dxa"/>
          </w:tblCellMar>
        </w:tblPrEx>
        <w:trPr>
          <w:trHeight w:val="276" w:hRule="atLeast"/>
        </w:trPr>
        <w:tc>
          <w:tcPr>
            <w:tcW w:w="105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eastAsia"/>
                <w:b/>
                <w:sz w:val="22"/>
                <w:szCs w:val="24"/>
              </w:rPr>
            </w:pPr>
            <w:r>
              <w:rPr>
                <w:rFonts w:hint="eastAsia"/>
                <w:b/>
                <w:sz w:val="22"/>
                <w:szCs w:val="24"/>
                <w:lang w:bidi="ar"/>
              </w:rPr>
              <w:t>编码</w:t>
            </w:r>
          </w:p>
        </w:tc>
        <w:tc>
          <w:tcPr>
            <w:tcW w:w="401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eastAsia"/>
                <w:b/>
                <w:sz w:val="22"/>
                <w:szCs w:val="24"/>
              </w:rPr>
            </w:pPr>
            <w:r>
              <w:rPr>
                <w:rFonts w:hint="eastAsia"/>
                <w:b/>
                <w:sz w:val="22"/>
                <w:szCs w:val="24"/>
                <w:lang w:bidi="ar"/>
              </w:rPr>
              <w:t>名    称</w:t>
            </w:r>
          </w:p>
        </w:tc>
        <w:tc>
          <w:tcPr>
            <w:tcW w:w="418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rPr>
                <w:rFonts w:hint="eastAsia"/>
                <w:b/>
                <w:sz w:val="22"/>
                <w:szCs w:val="24"/>
              </w:rPr>
            </w:pPr>
            <w:r>
              <w:rPr>
                <w:rFonts w:hint="eastAsia"/>
                <w:b/>
                <w:sz w:val="22"/>
                <w:szCs w:val="24"/>
                <w:lang w:bidi="ar"/>
              </w:rPr>
              <w:t>说明</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0100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挂号收入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门诊收入科目(专有)</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0200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床位收入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住院收入科目(专有)</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0300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诊察收入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0400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检查收入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0500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化验收入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0600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治疗收入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0601</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一般诊疗费收入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门诊收入科目(专有)</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0700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手术收入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0800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护理收入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住院收入科目(专有)</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0900</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卫生材料收入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1001</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西药收入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1002</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疫苗收入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1003</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中成药收入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1004</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中药饮片收入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　</w:t>
            </w:r>
          </w:p>
        </w:tc>
      </w:tr>
      <w:tr>
        <w:tblPrEx>
          <w:tblLayout w:type="fixed"/>
          <w:tblCellMar>
            <w:top w:w="0" w:type="dxa"/>
            <w:left w:w="0" w:type="dxa"/>
            <w:bottom w:w="0" w:type="dxa"/>
            <w:right w:w="0" w:type="dxa"/>
          </w:tblCellMar>
        </w:tblPrEx>
        <w:trPr>
          <w:trHeight w:val="288"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9901</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其他门急诊收入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门诊收入科目(专有)</w:t>
            </w:r>
          </w:p>
        </w:tc>
      </w:tr>
      <w:tr>
        <w:tblPrEx>
          <w:tblLayout w:type="fixed"/>
          <w:tblCellMar>
            <w:top w:w="0" w:type="dxa"/>
            <w:left w:w="0" w:type="dxa"/>
            <w:bottom w:w="0" w:type="dxa"/>
            <w:right w:w="0" w:type="dxa"/>
          </w:tblCellMar>
        </w:tblPrEx>
        <w:trPr>
          <w:trHeight w:val="276"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9902</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门急诊结算差额</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门诊收入科目(专有)</w:t>
            </w:r>
          </w:p>
        </w:tc>
      </w:tr>
      <w:tr>
        <w:tblPrEx>
          <w:tblLayout w:type="fixed"/>
          <w:tblCellMar>
            <w:top w:w="0" w:type="dxa"/>
            <w:left w:w="0" w:type="dxa"/>
            <w:bottom w:w="0" w:type="dxa"/>
            <w:right w:w="0" w:type="dxa"/>
          </w:tblCellMar>
        </w:tblPrEx>
        <w:trPr>
          <w:trHeight w:val="276"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9903</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其他住院收入</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住院收入科目(专有)</w:t>
            </w:r>
          </w:p>
        </w:tc>
      </w:tr>
      <w:tr>
        <w:tblPrEx>
          <w:tblLayout w:type="fixed"/>
          <w:tblCellMar>
            <w:top w:w="0" w:type="dxa"/>
            <w:left w:w="0" w:type="dxa"/>
            <w:bottom w:w="0" w:type="dxa"/>
            <w:right w:w="0" w:type="dxa"/>
          </w:tblCellMar>
        </w:tblPrEx>
        <w:trPr>
          <w:trHeight w:val="276" w:hRule="atLeast"/>
        </w:trPr>
        <w:tc>
          <w:tcPr>
            <w:tcW w:w="1055"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等线" w:cs="Times New Roman"/>
                <w:color w:val="000000"/>
                <w:sz w:val="22"/>
              </w:rPr>
            </w:pPr>
            <w:r>
              <w:rPr>
                <w:rFonts w:hint="eastAsia" w:ascii="Times New Roman" w:hAnsi="Times New Roman" w:eastAsia="等线" w:cs="Times New Roman"/>
                <w:color w:val="000000"/>
                <w:kern w:val="0"/>
                <w:sz w:val="22"/>
                <w:lang w:bidi="ar"/>
              </w:rPr>
              <w:t>9904</w:t>
            </w:r>
          </w:p>
        </w:tc>
        <w:tc>
          <w:tcPr>
            <w:tcW w:w="4010" w:type="dxa"/>
            <w:tcBorders>
              <w:top w:val="nil"/>
              <w:left w:val="nil"/>
              <w:bottom w:val="single" w:color="auto" w:sz="4" w:space="0"/>
              <w:right w:val="single" w:color="auto" w:sz="4" w:space="0"/>
            </w:tcBorders>
            <w:shd w:val="clear" w:color="auto" w:fill="auto"/>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sz w:val="20"/>
                <w:szCs w:val="20"/>
              </w:rPr>
            </w:pPr>
            <w:r>
              <w:rPr>
                <w:rFonts w:hint="eastAsia" w:cs="宋体"/>
                <w:kern w:val="0"/>
                <w:sz w:val="20"/>
                <w:szCs w:val="20"/>
                <w:lang w:bidi="ar"/>
              </w:rPr>
              <w:t>住院结算差额</w:t>
            </w:r>
          </w:p>
        </w:tc>
        <w:tc>
          <w:tcPr>
            <w:tcW w:w="4180" w:type="dxa"/>
            <w:tcBorders>
              <w:top w:val="nil"/>
              <w:left w:val="nil"/>
              <w:bottom w:val="single" w:color="auto" w:sz="4" w:space="0"/>
              <w:right w:val="single" w:color="auto" w:sz="4" w:space="0"/>
            </w:tcBorders>
            <w:shd w:val="clear" w:color="auto" w:fill="auto"/>
            <w:noWrap/>
            <w:tcMar>
              <w:top w:w="15" w:type="dxa"/>
              <w:left w:w="15" w:type="dxa"/>
              <w:right w:w="15" w:type="dxa"/>
            </w:tcMar>
          </w:tcPr>
          <w:p>
            <w:pPr>
              <w:keepNext w:val="0"/>
              <w:keepLines w:val="0"/>
              <w:widowControl/>
              <w:suppressLineNumbers w:val="0"/>
              <w:spacing w:before="0" w:beforeAutospacing="0" w:after="0" w:afterAutospacing="0"/>
              <w:ind w:left="0" w:right="0"/>
              <w:jc w:val="left"/>
              <w:textAlignment w:val="top"/>
              <w:rPr>
                <w:rFonts w:hint="eastAsia" w:cs="宋体"/>
                <w:color w:val="000000"/>
                <w:sz w:val="20"/>
                <w:szCs w:val="20"/>
              </w:rPr>
            </w:pPr>
            <w:r>
              <w:rPr>
                <w:rFonts w:hint="eastAsia" w:cs="宋体"/>
                <w:color w:val="000000"/>
                <w:kern w:val="0"/>
                <w:sz w:val="20"/>
                <w:szCs w:val="20"/>
                <w:lang w:bidi="ar"/>
              </w:rPr>
              <w:t>住院收入科目(专有)</w:t>
            </w:r>
          </w:p>
        </w:tc>
      </w:tr>
    </w:tbl>
    <w:p>
      <w:pPr>
        <w:jc w:val="left"/>
      </w:pPr>
    </w:p>
    <w:p>
      <w:pPr>
        <w:pStyle w:val="3"/>
        <w:numPr>
          <w:ilvl w:val="0"/>
          <w:numId w:val="3"/>
        </w:numPr>
        <w:spacing w:before="0" w:after="0" w:line="360" w:lineRule="auto"/>
        <w:jc w:val="left"/>
      </w:pPr>
      <w:r>
        <w:rPr>
          <w:rFonts w:hint="eastAsia"/>
        </w:rPr>
        <w:t>HACT13.00.024病案首页类型</w:t>
      </w:r>
    </w:p>
    <w:p>
      <w:r>
        <w:rPr>
          <w:rFonts w:hint="eastAsia"/>
        </w:rPr>
        <w:t>引用标准文号：</w:t>
      </w:r>
    </w:p>
    <w:p>
      <w:r>
        <w:rPr>
          <w:rFonts w:hint="eastAsia"/>
        </w:rPr>
        <w:t>说明：无</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4671"/>
      </w:tblGrid>
      <w:tr>
        <w:tblPrEx>
          <w:tblLayout w:type="fixed"/>
          <w:tblCellMar>
            <w:top w:w="0" w:type="dxa"/>
            <w:left w:w="108" w:type="dxa"/>
            <w:bottom w:w="0" w:type="dxa"/>
            <w:right w:w="108" w:type="dxa"/>
          </w:tblCellMar>
        </w:tblPrEx>
        <w:tc>
          <w:tcPr>
            <w:tcW w:w="1838"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值</w:t>
            </w:r>
          </w:p>
        </w:tc>
        <w:tc>
          <w:tcPr>
            <w:tcW w:w="3119"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值含义</w:t>
            </w:r>
          </w:p>
        </w:tc>
        <w:tc>
          <w:tcPr>
            <w:tcW w:w="4671" w:type="dxa"/>
            <w:shd w:val="clear" w:color="auto" w:fill="F1F1F1" w:themeFill="background1" w:themeFillShade="F2"/>
            <w:vAlign w:val="center"/>
          </w:tcPr>
          <w:p>
            <w:pPr>
              <w:keepNext w:val="0"/>
              <w:keepLines w:val="0"/>
              <w:suppressLineNumbers w:val="0"/>
              <w:spacing w:before="0" w:beforeAutospacing="0" w:after="0" w:afterAutospacing="0"/>
              <w:ind w:left="0" w:right="0"/>
              <w:jc w:val="center"/>
              <w:rPr>
                <w:rFonts w:hint="eastAsia"/>
                <w:sz w:val="21"/>
                <w:szCs w:val="21"/>
              </w:rPr>
            </w:pPr>
            <w:r>
              <w:rPr>
                <w:rFonts w:hint="eastAsia"/>
                <w:b/>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1</w:t>
            </w:r>
          </w:p>
        </w:tc>
        <w:tc>
          <w:tcPr>
            <w:tcW w:w="3119"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西医</w:t>
            </w:r>
          </w:p>
        </w:tc>
        <w:tc>
          <w:tcPr>
            <w:tcW w:w="4671" w:type="dxa"/>
            <w:vAlign w:val="center"/>
          </w:tcPr>
          <w:p>
            <w:pPr>
              <w:keepNext w:val="0"/>
              <w:keepLines w:val="0"/>
              <w:suppressLineNumbers w:val="0"/>
              <w:spacing w:before="0" w:beforeAutospacing="0" w:after="0" w:afterAutospacing="0"/>
              <w:ind w:left="0" w:right="0"/>
              <w:rPr>
                <w:rFonts w:hint="eastAsia"/>
                <w:sz w:val="21"/>
                <w:szCs w:val="21"/>
              </w:rPr>
            </w:pPr>
          </w:p>
        </w:tc>
      </w:tr>
      <w:tr>
        <w:tblPrEx>
          <w:tblLayout w:type="fixed"/>
          <w:tblCellMar>
            <w:top w:w="0" w:type="dxa"/>
            <w:left w:w="108" w:type="dxa"/>
            <w:bottom w:w="0" w:type="dxa"/>
            <w:right w:w="108" w:type="dxa"/>
          </w:tblCellMar>
        </w:tblPrEx>
        <w:tc>
          <w:tcPr>
            <w:tcW w:w="1838"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2</w:t>
            </w:r>
          </w:p>
        </w:tc>
        <w:tc>
          <w:tcPr>
            <w:tcW w:w="3119" w:type="dxa"/>
            <w:vAlign w:val="center"/>
          </w:tcPr>
          <w:p>
            <w:pPr>
              <w:keepNext w:val="0"/>
              <w:keepLines w:val="0"/>
              <w:suppressLineNumbers w:val="0"/>
              <w:spacing w:before="0" w:beforeAutospacing="0" w:after="0" w:afterAutospacing="0"/>
              <w:ind w:left="0" w:right="0"/>
              <w:rPr>
                <w:rFonts w:hint="eastAsia"/>
                <w:sz w:val="21"/>
                <w:szCs w:val="21"/>
              </w:rPr>
            </w:pPr>
            <w:r>
              <w:rPr>
                <w:rFonts w:hint="eastAsia"/>
                <w:sz w:val="21"/>
                <w:szCs w:val="21"/>
              </w:rPr>
              <w:t>中医</w:t>
            </w:r>
          </w:p>
        </w:tc>
        <w:tc>
          <w:tcPr>
            <w:tcW w:w="4671" w:type="dxa"/>
            <w:vAlign w:val="center"/>
          </w:tcPr>
          <w:p>
            <w:pPr>
              <w:keepNext w:val="0"/>
              <w:keepLines w:val="0"/>
              <w:suppressLineNumbers w:val="0"/>
              <w:spacing w:before="0" w:beforeAutospacing="0" w:after="0" w:afterAutospacing="0"/>
              <w:ind w:left="0" w:right="0"/>
              <w:rPr>
                <w:rFonts w:hint="eastAsia"/>
                <w:sz w:val="21"/>
                <w:szCs w:val="21"/>
              </w:rPr>
            </w:pPr>
          </w:p>
        </w:tc>
      </w:tr>
    </w:tbl>
    <w:p>
      <w:pPr>
        <w:jc w:val="left"/>
      </w:pPr>
    </w:p>
    <w:p>
      <w:pPr>
        <w:pStyle w:val="3"/>
        <w:numPr>
          <w:ilvl w:val="0"/>
          <w:numId w:val="3"/>
        </w:numPr>
        <w:spacing w:before="0" w:after="0" w:line="360" w:lineRule="auto"/>
        <w:jc w:val="left"/>
      </w:pPr>
      <w:r>
        <w:t>HACT14.00.001 监护室（ICU）类别代码表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620"/>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62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4808"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重症医学科（ICU）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心脏监护室（CCU）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呼吸监护室（RICU）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外科监护室（SICU）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新生儿监护室（NICU）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儿科监护室（PICU）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急诊监护室（EICU）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内科监护室（MICU）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心脏外科监护室（CICU）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神经外科监护室（NSICU）</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362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其他（指未列入上述名称的监护室）</w:t>
            </w:r>
          </w:p>
        </w:tc>
        <w:tc>
          <w:tcPr>
            <w:tcW w:w="4808"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HACT14.00.003 医保付费方式代码表</w:t>
      </w:r>
    </w:p>
    <w:p>
      <w:pPr>
        <w:numPr>
          <w:ilvl w:val="255"/>
          <w:numId w:val="0"/>
        </w:numPr>
        <w:rPr>
          <w:rFonts w:cs="宋体"/>
          <w:b/>
          <w:bCs/>
          <w:szCs w:val="24"/>
          <w:lang w:bidi="ar"/>
        </w:rPr>
      </w:pPr>
      <w:r>
        <w:rPr>
          <w:rFonts w:cs="宋体"/>
          <w:b/>
          <w:bCs/>
          <w:szCs w:val="24"/>
          <w:lang w:bidi="ar"/>
        </w:rPr>
        <w:t>引用标准文号：《河南省医疗保障信息平台定点医药机构接口规范v1.4》中“6.126 医保付费方式代码（hif_pay_code）”。</w:t>
      </w:r>
    </w:p>
    <w:p>
      <w:pPr>
        <w:numPr>
          <w:ilvl w:val="255"/>
          <w:numId w:val="0"/>
        </w:numPr>
        <w:rPr>
          <w:rFonts w:cs="宋体"/>
          <w:b/>
          <w:bCs/>
          <w:szCs w:val="24"/>
          <w:lang w:bidi="ar"/>
        </w:rPr>
      </w:pPr>
      <w:r>
        <w:rPr>
          <w:rFonts w:cs="宋体"/>
          <w:b/>
          <w:bCs/>
          <w:szCs w:val="24"/>
          <w:lang w:bidi="ar"/>
        </w:rPr>
        <w:t xml:space="preserve">说明：增加“90 </w:t>
      </w:r>
      <w:r>
        <w:rPr>
          <w:rFonts w:cs="宋体"/>
          <w:b/>
          <w:bCs/>
          <w:color w:val="000000"/>
          <w:kern w:val="0"/>
          <w:szCs w:val="24"/>
          <w:lang w:bidi="ar"/>
        </w:rPr>
        <w:t>DIP分值付费</w:t>
      </w:r>
      <w:r>
        <w:rPr>
          <w:rFonts w:cs="宋体"/>
          <w:b/>
          <w:bCs/>
          <w:szCs w:val="24"/>
          <w:lang w:bidi="ar"/>
        </w:rPr>
        <w:t>”。</w:t>
      </w:r>
    </w:p>
    <w:tbl>
      <w:tblPr>
        <w:tblStyle w:val="10"/>
        <w:tblW w:w="9628" w:type="dxa"/>
        <w:tblInd w:w="0" w:type="dxa"/>
        <w:tblLayout w:type="fixed"/>
        <w:tblCellMar>
          <w:top w:w="0" w:type="dxa"/>
          <w:left w:w="108" w:type="dxa"/>
          <w:bottom w:w="0" w:type="dxa"/>
          <w:right w:w="108" w:type="dxa"/>
        </w:tblCellMar>
      </w:tblPr>
      <w:tblGrid>
        <w:gridCol w:w="1504"/>
        <w:gridCol w:w="3357"/>
        <w:gridCol w:w="4767"/>
      </w:tblGrid>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D9D9D9"/>
            <w:noWrap/>
            <w:vAlign w:val="center"/>
          </w:tcPr>
          <w:p>
            <w:pPr>
              <w:keepNext w:val="0"/>
              <w:keepLines w:val="0"/>
              <w:suppressLineNumbers w:val="0"/>
              <w:spacing w:before="0" w:beforeAutospacing="0" w:after="0" w:afterAutospacing="0" w:line="360" w:lineRule="auto"/>
              <w:ind w:left="0" w:right="0"/>
              <w:jc w:val="center"/>
              <w:rPr>
                <w:rFonts w:hint="eastAsia" w:cs="黑体"/>
                <w:b/>
                <w:bCs/>
                <w:color w:val="000000"/>
                <w:sz w:val="21"/>
                <w:szCs w:val="21"/>
              </w:rPr>
            </w:pPr>
            <w:r>
              <w:rPr>
                <w:rFonts w:hint="eastAsia" w:cs="黑体"/>
                <w:b/>
                <w:bCs/>
                <w:color w:val="000000"/>
                <w:kern w:val="0"/>
                <w:sz w:val="21"/>
                <w:szCs w:val="21"/>
                <w:lang w:bidi="ar"/>
              </w:rPr>
              <w:t>值</w:t>
            </w:r>
          </w:p>
        </w:tc>
        <w:tc>
          <w:tcPr>
            <w:tcW w:w="3357" w:type="dxa"/>
            <w:tcBorders>
              <w:top w:val="single" w:color="auto" w:sz="4" w:space="0"/>
              <w:left w:val="nil"/>
              <w:bottom w:val="single" w:color="auto" w:sz="4" w:space="0"/>
              <w:right w:val="single" w:color="auto" w:sz="4" w:space="0"/>
            </w:tcBorders>
            <w:shd w:val="clear" w:color="auto" w:fill="D9D9D9"/>
            <w:noWrap/>
            <w:vAlign w:val="center"/>
          </w:tcPr>
          <w:p>
            <w:pPr>
              <w:keepNext w:val="0"/>
              <w:keepLines w:val="0"/>
              <w:suppressLineNumbers w:val="0"/>
              <w:spacing w:before="0" w:beforeAutospacing="0" w:after="0" w:afterAutospacing="0" w:line="360" w:lineRule="auto"/>
              <w:ind w:left="0" w:right="0"/>
              <w:jc w:val="center"/>
              <w:rPr>
                <w:rFonts w:hint="eastAsia" w:cs="黑体"/>
                <w:b/>
                <w:bCs/>
                <w:color w:val="000000"/>
                <w:sz w:val="21"/>
                <w:szCs w:val="21"/>
              </w:rPr>
            </w:pPr>
            <w:r>
              <w:rPr>
                <w:rFonts w:hint="eastAsia" w:cs="黑体"/>
                <w:b/>
                <w:bCs/>
                <w:color w:val="000000"/>
                <w:kern w:val="0"/>
                <w:sz w:val="21"/>
                <w:szCs w:val="21"/>
                <w:lang w:bidi="ar"/>
              </w:rPr>
              <w:t>值含义</w:t>
            </w:r>
          </w:p>
        </w:tc>
        <w:tc>
          <w:tcPr>
            <w:tcW w:w="4767" w:type="dxa"/>
            <w:tcBorders>
              <w:top w:val="single" w:color="auto" w:sz="4" w:space="0"/>
              <w:left w:val="nil"/>
              <w:bottom w:val="single" w:color="auto" w:sz="4" w:space="0"/>
              <w:right w:val="single" w:color="auto" w:sz="4" w:space="0"/>
            </w:tcBorders>
            <w:shd w:val="clear" w:color="auto" w:fill="D9D9D9"/>
          </w:tcPr>
          <w:p>
            <w:pPr>
              <w:keepNext w:val="0"/>
              <w:keepLines w:val="0"/>
              <w:suppressLineNumbers w:val="0"/>
              <w:spacing w:before="0" w:beforeAutospacing="0" w:after="0" w:afterAutospacing="0" w:line="360" w:lineRule="auto"/>
              <w:ind w:left="0" w:right="0"/>
              <w:jc w:val="center"/>
              <w:rPr>
                <w:rFonts w:hint="eastAsia" w:cs="黑体"/>
                <w:b/>
                <w:bCs/>
                <w:color w:val="000000"/>
                <w:kern w:val="0"/>
                <w:sz w:val="21"/>
                <w:szCs w:val="21"/>
                <w:lang w:bidi="ar"/>
              </w:rPr>
            </w:pPr>
            <w:r>
              <w:rPr>
                <w:rFonts w:hint="eastAsia" w:cs="黑体"/>
                <w:b/>
                <w:bCs/>
                <w:color w:val="000000"/>
                <w:kern w:val="0"/>
                <w:sz w:val="21"/>
                <w:szCs w:val="21"/>
                <w:lang w:bidi="ar"/>
              </w:rPr>
              <w:t>说明</w:t>
            </w:r>
          </w:p>
        </w:tc>
      </w:tr>
      <w:tr>
        <w:tblPrEx>
          <w:tblLayout w:type="fixed"/>
          <w:tblCellMar>
            <w:top w:w="0" w:type="dxa"/>
            <w:left w:w="108" w:type="dxa"/>
            <w:bottom w:w="0" w:type="dxa"/>
            <w:right w:w="108" w:type="dxa"/>
          </w:tblCellMar>
        </w:tblPrEx>
        <w:trPr>
          <w:trHeight w:val="260" w:hRule="atLeast"/>
        </w:trPr>
        <w:tc>
          <w:tcPr>
            <w:tcW w:w="1504"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01</w:t>
            </w:r>
          </w:p>
        </w:tc>
        <w:tc>
          <w:tcPr>
            <w:tcW w:w="3357" w:type="dxa"/>
            <w:tcBorders>
              <w:top w:val="nil"/>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总额预付</w:t>
            </w:r>
          </w:p>
        </w:tc>
        <w:tc>
          <w:tcPr>
            <w:tcW w:w="4767" w:type="dxa"/>
            <w:tcBorders>
              <w:top w:val="nil"/>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02</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 xml:space="preserve">病组付费 </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03</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单病种付费</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04</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 xml:space="preserve">人头付费 </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s="宋体"/>
                <w:color w:val="000000"/>
                <w:kern w:val="0"/>
                <w:sz w:val="21"/>
                <w:szCs w:val="21"/>
                <w:lang w:bidi="ar"/>
              </w:rPr>
            </w:pPr>
            <w:r>
              <w:rPr>
                <w:rFonts w:hint="eastAsia" w:cs="宋体"/>
                <w:color w:val="000000"/>
                <w:kern w:val="0"/>
                <w:sz w:val="21"/>
                <w:szCs w:val="21"/>
                <w:lang w:bidi="ar"/>
              </w:rPr>
              <w:t>90</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r>
              <w:rPr>
                <w:rFonts w:hint="eastAsia" w:cs="宋体"/>
                <w:color w:val="000000"/>
                <w:kern w:val="0"/>
                <w:sz w:val="21"/>
                <w:szCs w:val="21"/>
                <w:lang w:bidi="ar"/>
              </w:rPr>
              <w:t>DIP分值付费</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97</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 xml:space="preserve">项目付费 </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98</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按床日付费（含日间）</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r>
        <w:tblPrEx>
          <w:tblLayout w:type="fixed"/>
          <w:tblCellMar>
            <w:top w:w="0" w:type="dxa"/>
            <w:left w:w="108" w:type="dxa"/>
            <w:bottom w:w="0" w:type="dxa"/>
            <w:right w:w="108" w:type="dxa"/>
          </w:tblCellMar>
        </w:tblPrEx>
        <w:trPr>
          <w:trHeight w:val="260" w:hRule="atLeast"/>
        </w:trPr>
        <w:tc>
          <w:tcPr>
            <w:tcW w:w="150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color w:val="000000"/>
                <w:sz w:val="21"/>
                <w:szCs w:val="21"/>
              </w:rPr>
            </w:pPr>
            <w:r>
              <w:rPr>
                <w:rFonts w:hint="eastAsia" w:cs="宋体"/>
                <w:color w:val="000000"/>
                <w:kern w:val="0"/>
                <w:sz w:val="21"/>
                <w:szCs w:val="21"/>
                <w:lang w:bidi="ar"/>
              </w:rPr>
              <w:t>99</w:t>
            </w:r>
          </w:p>
        </w:tc>
        <w:tc>
          <w:tcPr>
            <w:tcW w:w="335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line="360" w:lineRule="auto"/>
              <w:ind w:left="0" w:right="0"/>
              <w:jc w:val="left"/>
              <w:rPr>
                <w:rFonts w:hint="eastAsia"/>
                <w:color w:val="000000"/>
                <w:sz w:val="21"/>
                <w:szCs w:val="21"/>
              </w:rPr>
            </w:pPr>
            <w:r>
              <w:rPr>
                <w:rFonts w:hint="eastAsia" w:cs="宋体"/>
                <w:color w:val="000000"/>
                <w:kern w:val="0"/>
                <w:sz w:val="21"/>
                <w:szCs w:val="21"/>
                <w:lang w:bidi="ar"/>
              </w:rPr>
              <w:t>非医疗保险  其他</w:t>
            </w:r>
          </w:p>
        </w:tc>
        <w:tc>
          <w:tcPr>
            <w:tcW w:w="4767" w:type="dxa"/>
            <w:tcBorders>
              <w:top w:val="single" w:color="auto" w:sz="4" w:space="0"/>
              <w:left w:val="nil"/>
              <w:bottom w:val="single" w:color="auto" w:sz="4" w:space="0"/>
              <w:right w:val="single" w:color="auto" w:sz="4" w:space="0"/>
            </w:tcBorders>
          </w:tcPr>
          <w:p>
            <w:pPr>
              <w:keepNext w:val="0"/>
              <w:keepLines w:val="0"/>
              <w:suppressLineNumbers w:val="0"/>
              <w:spacing w:before="0" w:beforeAutospacing="0" w:after="0" w:afterAutospacing="0" w:line="360" w:lineRule="auto"/>
              <w:ind w:left="0" w:right="0"/>
              <w:jc w:val="left"/>
              <w:rPr>
                <w:rFonts w:hint="eastAsia" w:cs="宋体"/>
                <w:color w:val="000000"/>
                <w:kern w:val="0"/>
                <w:sz w:val="21"/>
                <w:szCs w:val="21"/>
                <w:lang w:bidi="ar"/>
              </w:rPr>
            </w:pPr>
          </w:p>
        </w:tc>
      </w:tr>
    </w:tbl>
    <w:p>
      <w:pPr>
        <w:jc w:val="left"/>
      </w:pPr>
    </w:p>
    <w:p>
      <w:pPr>
        <w:pStyle w:val="3"/>
        <w:numPr>
          <w:ilvl w:val="0"/>
          <w:numId w:val="3"/>
        </w:numPr>
        <w:spacing w:before="0" w:after="0" w:line="360" w:lineRule="auto"/>
        <w:jc w:val="left"/>
      </w:pPr>
      <w:r>
        <w:t>HACT14.00.005  有无输血反应标识代码表</w:t>
      </w:r>
    </w:p>
    <w:p>
      <w:pPr>
        <w:numPr>
          <w:ilvl w:val="255"/>
          <w:numId w:val="0"/>
        </w:numPr>
        <w:jc w:val="left"/>
        <w:rPr>
          <w:b/>
        </w:rPr>
      </w:pPr>
      <w:r>
        <w:rPr>
          <w:rFonts w:hint="eastAsia"/>
          <w:b/>
        </w:rPr>
        <w:t>引用标准文号：</w:t>
      </w:r>
      <w:r>
        <w:rPr>
          <w:b w:val="0"/>
          <w:bCs w:val="0"/>
        </w:rPr>
        <w:t>无。</w:t>
      </w:r>
    </w:p>
    <w:p>
      <w:pPr>
        <w:jc w:val="left"/>
        <w:rPr>
          <w:b w:val="0"/>
          <w:bCs w:val="0"/>
        </w:rPr>
      </w:pPr>
      <w:r>
        <w:rPr>
          <w:rFonts w:hint="eastAsia"/>
          <w:b/>
        </w:rPr>
        <w:t>说明：</w:t>
      </w:r>
      <w:r>
        <w:rPr>
          <w:rFonts w:hint="default"/>
          <w:b w:val="0"/>
          <w:bCs w:val="0"/>
        </w:rPr>
        <w:t>输血患者填写，指与输血具有时序相关性的不良反应，</w:t>
      </w:r>
      <w:r>
        <w:rPr>
          <w:rFonts w:hint="eastAsia"/>
          <w:b w:val="0"/>
          <w:bCs w:val="0"/>
        </w:rPr>
        <w:t>血费大于</w:t>
      </w:r>
      <w:r>
        <w:rPr>
          <w:b w:val="0"/>
          <w:bCs w:val="0"/>
        </w:rPr>
        <w:t>0必填。</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HACT14.00.008  诊断符合情况代码</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符合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不符合</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不确定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HACT14.00.009 临床路径管理代码</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完成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变异</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退出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未入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HACT14.00.010 同城互认代码组合</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影像检查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检验检查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病理检查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心电检查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 xml:space="preserve">HACT14.00.011 手术患者类型代码 </w:t>
      </w:r>
    </w:p>
    <w:p>
      <w:pPr>
        <w:numPr>
          <w:ilvl w:val="255"/>
          <w:numId w:val="0"/>
        </w:numPr>
        <w:jc w:val="left"/>
        <w:rPr>
          <w:b/>
        </w:rPr>
      </w:pPr>
      <w:r>
        <w:rPr>
          <w:rFonts w:hint="eastAsia"/>
          <w:b/>
        </w:rPr>
        <w:t>引用标准文号：</w:t>
      </w:r>
      <w:r>
        <w:rPr>
          <w:b/>
        </w:rPr>
        <w:t>《全国医院数据上报管理方案 医疗数据字典(试行)》(国卫办规划函〔2019〕380号)，</w:t>
      </w:r>
      <w:r>
        <w:rPr>
          <w:rFonts w:hint="eastAsia" w:ascii="仿宋" w:hAnsi="仿宋" w:eastAsia="仿宋" w:cs="仿宋"/>
          <w:sz w:val="22"/>
          <w:lang w:val="zh-CN" w:bidi="zh-CN"/>
        </w:rPr>
        <w:t>CT01.00.031</w:t>
      </w:r>
      <w:r>
        <w:rPr>
          <w:rFonts w:cs="宋体"/>
          <w:szCs w:val="24"/>
        </w:rPr>
        <w:t xml:space="preserve"> </w:t>
      </w:r>
      <w:r>
        <w:rPr>
          <w:b/>
        </w:rPr>
        <w:t>。</w:t>
      </w:r>
    </w:p>
    <w:p>
      <w:r>
        <w:rPr>
          <w:rFonts w:hint="eastAsia"/>
          <w:b/>
        </w:rPr>
        <w:t>说明：</w:t>
      </w:r>
      <w:r>
        <w:rPr>
          <w:b/>
        </w:rPr>
        <w:t>无。</w:t>
      </w:r>
    </w:p>
    <w:tbl>
      <w:tblPr>
        <w:tblStyle w:val="21"/>
        <w:tblW w:w="962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1"/>
        <w:gridCol w:w="2977"/>
        <w:gridCol w:w="4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pStyle w:val="9"/>
              <w:keepNext w:val="0"/>
              <w:keepLines w:val="0"/>
              <w:suppressLineNumbers w:val="0"/>
              <w:autoSpaceDE w:val="0"/>
              <w:autoSpaceDN w:val="0"/>
              <w:spacing w:before="0" w:beforeAutospacing="0" w:after="0" w:afterAutospacing="0" w:line="240" w:lineRule="atLeast"/>
              <w:ind w:left="0" w:right="0"/>
              <w:jc w:val="center"/>
              <w:rPr>
                <w:rFonts w:hint="eastAsia"/>
                <w:b/>
                <w:sz w:val="21"/>
                <w:szCs w:val="21"/>
                <w:lang w:eastAsia="en-US"/>
              </w:rPr>
            </w:pPr>
            <w:r>
              <w:rPr>
                <w:rFonts w:hint="eastAsia" w:cs="仿宋"/>
                <w:b/>
                <w:w w:val="99"/>
                <w:kern w:val="0"/>
                <w:sz w:val="21"/>
                <w:szCs w:val="21"/>
                <w:lang w:eastAsia="en-US" w:bidi="ar"/>
              </w:rPr>
              <w:t>值</w:t>
            </w:r>
          </w:p>
        </w:tc>
        <w:tc>
          <w:tcPr>
            <w:tcW w:w="2977"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pStyle w:val="9"/>
              <w:keepNext w:val="0"/>
              <w:keepLines w:val="0"/>
              <w:suppressLineNumbers w:val="0"/>
              <w:autoSpaceDE w:val="0"/>
              <w:autoSpaceDN w:val="0"/>
              <w:spacing w:before="0" w:beforeAutospacing="0" w:after="0" w:afterAutospacing="0" w:line="240" w:lineRule="atLeast"/>
              <w:ind w:left="0" w:right="0"/>
              <w:jc w:val="center"/>
              <w:rPr>
                <w:rFonts w:hint="eastAsia"/>
                <w:b/>
                <w:sz w:val="21"/>
                <w:szCs w:val="21"/>
                <w:lang w:eastAsia="en-US"/>
              </w:rPr>
            </w:pPr>
            <w:r>
              <w:rPr>
                <w:rFonts w:hint="eastAsia" w:cs="仿宋"/>
                <w:b/>
                <w:kern w:val="0"/>
                <w:sz w:val="21"/>
                <w:szCs w:val="21"/>
                <w:lang w:eastAsia="en-US" w:bidi="ar"/>
              </w:rPr>
              <w:t>值含义</w:t>
            </w:r>
          </w:p>
        </w:tc>
        <w:tc>
          <w:tcPr>
            <w:tcW w:w="4950"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pStyle w:val="9"/>
              <w:keepNext w:val="0"/>
              <w:keepLines w:val="0"/>
              <w:suppressLineNumbers w:val="0"/>
              <w:autoSpaceDE w:val="0"/>
              <w:autoSpaceDN w:val="0"/>
              <w:spacing w:before="0" w:beforeAutospacing="0" w:after="0" w:afterAutospacing="0" w:line="240" w:lineRule="atLeast"/>
              <w:ind w:left="0" w:right="0"/>
              <w:jc w:val="center"/>
              <w:rPr>
                <w:rFonts w:hint="eastAsia"/>
                <w:b/>
                <w:sz w:val="21"/>
                <w:szCs w:val="21"/>
                <w:lang w:eastAsia="en-US"/>
              </w:rPr>
            </w:pPr>
            <w:r>
              <w:rPr>
                <w:rFonts w:hint="eastAsia" w:cs="仿宋"/>
                <w:b/>
                <w:kern w:val="0"/>
                <w:sz w:val="21"/>
                <w:szCs w:val="21"/>
                <w:lang w:eastAsia="en-US" w:bidi="ar"/>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sz w:val="21"/>
                <w:szCs w:val="21"/>
                <w:lang w:eastAsia="en-US"/>
              </w:rPr>
            </w:pPr>
            <w:r>
              <w:rPr>
                <w:rFonts w:hint="eastAsia" w:cs="仿宋"/>
                <w:w w:val="99"/>
                <w:kern w:val="0"/>
                <w:sz w:val="21"/>
                <w:szCs w:val="21"/>
                <w:lang w:eastAsia="en-US" w:bidi="ar"/>
              </w:rPr>
              <w:t>1</w:t>
            </w:r>
          </w:p>
        </w:tc>
        <w:tc>
          <w:tcPr>
            <w:tcW w:w="2977"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sz w:val="21"/>
                <w:szCs w:val="21"/>
                <w:lang w:eastAsia="en-US"/>
              </w:rPr>
            </w:pPr>
            <w:r>
              <w:rPr>
                <w:rFonts w:hint="eastAsia" w:cs="仿宋"/>
                <w:w w:val="115"/>
                <w:kern w:val="0"/>
                <w:sz w:val="21"/>
                <w:szCs w:val="21"/>
                <w:lang w:eastAsia="en-US" w:bidi="ar"/>
              </w:rPr>
              <w:t>非手术患者</w:t>
            </w:r>
          </w:p>
        </w:tc>
        <w:tc>
          <w:tcPr>
            <w:tcW w:w="4950"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cs="仿宋"/>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sz w:val="21"/>
                <w:szCs w:val="21"/>
                <w:lang w:eastAsia="en-US"/>
              </w:rPr>
            </w:pPr>
            <w:r>
              <w:rPr>
                <w:rFonts w:hint="eastAsia" w:cs="仿宋"/>
                <w:w w:val="99"/>
                <w:kern w:val="0"/>
                <w:sz w:val="21"/>
                <w:szCs w:val="21"/>
                <w:lang w:eastAsia="en-US" w:bidi="ar"/>
              </w:rPr>
              <w:t>2</w:t>
            </w:r>
          </w:p>
        </w:tc>
        <w:tc>
          <w:tcPr>
            <w:tcW w:w="2977"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sz w:val="21"/>
                <w:szCs w:val="21"/>
                <w:lang w:eastAsia="en-US"/>
              </w:rPr>
            </w:pPr>
            <w:r>
              <w:rPr>
                <w:rFonts w:hint="eastAsia" w:cs="仿宋"/>
                <w:kern w:val="0"/>
                <w:sz w:val="21"/>
                <w:szCs w:val="21"/>
                <w:lang w:eastAsia="en-US" w:bidi="ar"/>
              </w:rPr>
              <w:t>急诊手术</w:t>
            </w:r>
          </w:p>
        </w:tc>
        <w:tc>
          <w:tcPr>
            <w:tcW w:w="4950"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cs="仿宋"/>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20" w:hRule="atLeast"/>
        </w:trPr>
        <w:tc>
          <w:tcPr>
            <w:tcW w:w="1701"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sz w:val="21"/>
                <w:szCs w:val="21"/>
                <w:lang w:eastAsia="en-US"/>
              </w:rPr>
            </w:pPr>
            <w:r>
              <w:rPr>
                <w:rFonts w:hint="eastAsia" w:cs="仿宋"/>
                <w:w w:val="99"/>
                <w:kern w:val="0"/>
                <w:sz w:val="21"/>
                <w:szCs w:val="21"/>
                <w:lang w:eastAsia="en-US" w:bidi="ar"/>
              </w:rPr>
              <w:t>3</w:t>
            </w:r>
          </w:p>
        </w:tc>
        <w:tc>
          <w:tcPr>
            <w:tcW w:w="2977"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sz w:val="21"/>
                <w:szCs w:val="21"/>
                <w:lang w:eastAsia="en-US"/>
              </w:rPr>
            </w:pPr>
            <w:r>
              <w:rPr>
                <w:rFonts w:hint="eastAsia" w:cs="仿宋"/>
                <w:kern w:val="0"/>
                <w:sz w:val="21"/>
                <w:szCs w:val="21"/>
                <w:lang w:eastAsia="en-US" w:bidi="ar"/>
              </w:rPr>
              <w:t>择期手术</w:t>
            </w:r>
          </w:p>
        </w:tc>
        <w:tc>
          <w:tcPr>
            <w:tcW w:w="4950" w:type="dxa"/>
            <w:tcBorders>
              <w:top w:val="single" w:color="000000" w:sz="4" w:space="0"/>
              <w:left w:val="single" w:color="000000" w:sz="4" w:space="0"/>
              <w:bottom w:val="single" w:color="000000" w:sz="4" w:space="0"/>
              <w:right w:val="single" w:color="000000" w:sz="4" w:space="0"/>
            </w:tcBorders>
            <w:shd w:val="clear" w:color="auto" w:fill="auto"/>
          </w:tcPr>
          <w:p>
            <w:pPr>
              <w:pStyle w:val="9"/>
              <w:keepNext w:val="0"/>
              <w:keepLines w:val="0"/>
              <w:suppressLineNumbers w:val="0"/>
              <w:autoSpaceDE w:val="0"/>
              <w:autoSpaceDN w:val="0"/>
              <w:spacing w:before="0" w:beforeAutospacing="0" w:after="0" w:afterAutospacing="0" w:line="240" w:lineRule="atLeast"/>
              <w:ind w:left="0" w:right="0"/>
              <w:jc w:val="left"/>
              <w:rPr>
                <w:rFonts w:hint="eastAsia" w:cs="仿宋"/>
                <w:sz w:val="21"/>
                <w:szCs w:val="21"/>
                <w:lang w:eastAsia="en-US"/>
              </w:rPr>
            </w:pPr>
          </w:p>
        </w:tc>
      </w:tr>
    </w:tbl>
    <w:p>
      <w:pPr>
        <w:jc w:val="left"/>
      </w:pPr>
    </w:p>
    <w:p>
      <w:pPr>
        <w:pStyle w:val="3"/>
        <w:numPr>
          <w:ilvl w:val="0"/>
          <w:numId w:val="3"/>
        </w:numPr>
        <w:spacing w:before="0" w:after="0" w:line="360" w:lineRule="auto"/>
        <w:jc w:val="left"/>
      </w:pPr>
      <w:r>
        <w:t>HACT14.00.012  手术切口类别代码表</w:t>
      </w:r>
    </w:p>
    <w:p>
      <w:pPr>
        <w:numPr>
          <w:ilvl w:val="255"/>
          <w:numId w:val="0"/>
        </w:numPr>
        <w:jc w:val="left"/>
        <w:rPr>
          <w:b/>
        </w:rPr>
      </w:pPr>
      <w:r>
        <w:rPr>
          <w:rFonts w:hint="eastAsia"/>
          <w:b/>
        </w:rPr>
        <w:t>引用标准文号：</w:t>
      </w:r>
      <w:r>
        <w:rPr>
          <w:rFonts w:hint="eastAsia" w:cs="Times New Roman"/>
          <w:szCs w:val="24"/>
          <w:lang w:bidi="ar"/>
        </w:rPr>
        <w:t>WS 445.10-2014</w:t>
      </w:r>
      <w:r>
        <w:rPr>
          <w:rFonts w:cs="Times New Roman"/>
          <w:szCs w:val="24"/>
          <w:lang w:bidi="ar"/>
        </w:rPr>
        <w:t>，</w:t>
      </w:r>
      <w:r>
        <w:t>CV05.10.022</w:t>
      </w:r>
    </w:p>
    <w:p>
      <w:pPr>
        <w:jc w:val="left"/>
      </w:pPr>
      <w:r>
        <w:rPr>
          <w:rFonts w:hint="eastAsia"/>
          <w:b/>
        </w:rPr>
        <w:t>说明：</w:t>
      </w:r>
      <w:r>
        <w:t>与卫生行业标准一致。</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0类切口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Ⅰ类切口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Ⅱ类切口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Ⅲ类切口</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HACT14.00.013  手术切口愈合等级代码表</w:t>
      </w:r>
    </w:p>
    <w:p>
      <w:pPr>
        <w:numPr>
          <w:ilvl w:val="255"/>
          <w:numId w:val="0"/>
        </w:numPr>
        <w:jc w:val="left"/>
        <w:rPr>
          <w:b/>
        </w:rPr>
      </w:pPr>
      <w:r>
        <w:rPr>
          <w:rFonts w:hint="eastAsia"/>
          <w:b/>
        </w:rPr>
        <w:t>引用标准文号：</w:t>
      </w:r>
      <w:r>
        <w:rPr>
          <w:rFonts w:hint="eastAsia" w:cs="Times New Roman"/>
          <w:szCs w:val="24"/>
          <w:lang w:bidi="ar"/>
        </w:rPr>
        <w:t>WS 445.10-2014</w:t>
      </w:r>
      <w:r>
        <w:rPr>
          <w:rFonts w:cs="Times New Roman"/>
          <w:szCs w:val="24"/>
          <w:lang w:bidi="ar"/>
        </w:rPr>
        <w:t>，</w:t>
      </w:r>
      <w:r>
        <w:t>CV05.10.023</w:t>
      </w:r>
      <w:r>
        <w:rPr>
          <w:b/>
        </w:rPr>
        <w:t>。</w:t>
      </w:r>
    </w:p>
    <w:p>
      <w:pPr>
        <w:rPr>
          <w:b/>
        </w:rPr>
      </w:pPr>
      <w:r>
        <w:rPr>
          <w:rFonts w:hint="eastAsia"/>
          <w:b/>
        </w:rPr>
        <w:t>说明：</w:t>
      </w:r>
      <w:r>
        <w:rPr>
          <w:b/>
        </w:rPr>
        <w:t>《全国医院数据上报管理方案 医疗数据字典(试行)》(国卫办规划函〔2019〕380号)：采用的是手术切口+切口愈合等级组合方式的编码。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乙</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丙</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HACT14.00.014 实施临床路径标志代码表</w:t>
      </w:r>
    </w:p>
    <w:p>
      <w:pPr>
        <w:numPr>
          <w:ilvl w:val="255"/>
          <w:numId w:val="0"/>
        </w:numPr>
        <w:jc w:val="left"/>
        <w:rPr>
          <w:b/>
        </w:rPr>
      </w:pPr>
      <w:r>
        <w:rPr>
          <w:rFonts w:hint="eastAsia"/>
          <w:b/>
        </w:rPr>
        <w:t>引用标准文号：</w:t>
      </w:r>
      <w:r>
        <w:rPr>
          <w:b/>
        </w:rPr>
        <w:t>《全国卫生资源与医疗服务统计调查制度》2021版。</w:t>
      </w:r>
    </w:p>
    <w:p>
      <w:r>
        <w:rPr>
          <w:rFonts w:hint="eastAsia"/>
          <w:b/>
        </w:rPr>
        <w:t>说明：</w:t>
      </w:r>
      <w:r>
        <w:rPr>
          <w:rFonts w:hint="eastAsia" w:ascii="宋体" w:hAnsi="宋体" w:eastAsia="宋体" w:cs="Times New Roman"/>
          <w:kern w:val="2"/>
          <w:sz w:val="24"/>
          <w:szCs w:val="22"/>
          <w:lang w:val="en-US" w:eastAsia="zh-CN" w:bidi="ar"/>
          <w:woUserID w:val="4"/>
        </w:rPr>
        <w:t>中医病案首页填写独有。</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西医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HACT15.00.001 健康管理评估方式</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就诊</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家里</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电话</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APP</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微信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HACT15.00.002 伤害程度代码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轻度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重度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HACT15.00.003 伤害疾病代码表</w:t>
      </w:r>
    </w:p>
    <w:p>
      <w:pPr>
        <w:numPr>
          <w:ilvl w:val="255"/>
          <w:numId w:val="0"/>
        </w:numPr>
        <w:jc w:val="left"/>
        <w:rPr>
          <w:b/>
        </w:rPr>
      </w:pPr>
      <w:r>
        <w:rPr>
          <w:rFonts w:hint="eastAsia"/>
          <w:b/>
        </w:rPr>
        <w:t>引用标准文号：</w:t>
      </w:r>
      <w:r>
        <w:rPr>
          <w:b/>
        </w:rPr>
        <w:t>无。</w:t>
      </w:r>
    </w:p>
    <w:p>
      <w:pPr>
        <w:jc w:val="left"/>
      </w:pPr>
      <w:r>
        <w:rPr>
          <w:rFonts w:hint="eastAsia"/>
          <w:b/>
        </w:rPr>
        <w:t>说明：</w:t>
      </w:r>
      <w:r>
        <w:rPr>
          <w:rFonts w:hint="eastAsia"/>
        </w:rPr>
        <w:t>需要专家制订伤害编码。</w:t>
      </w:r>
      <w:r>
        <w:t>（后续按最新更新处理）</w:t>
      </w:r>
    </w:p>
    <w:p>
      <w:pPr>
        <w:jc w:val="left"/>
      </w:pPr>
    </w:p>
    <w:tbl>
      <w:tblPr>
        <w:tblStyle w:val="10"/>
        <w:tblW w:w="9639" w:type="dxa"/>
        <w:tblInd w:w="-1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5"/>
        <w:gridCol w:w="4291"/>
        <w:gridCol w:w="859"/>
        <w:gridCol w:w="25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tcBorders>
              <w:top w:val="single" w:color="auto" w:sz="12" w:space="0"/>
              <w:bottom w:val="single" w:color="auto" w:sz="12" w:space="0"/>
            </w:tcBorders>
            <w:vAlign w:val="center"/>
          </w:tcPr>
          <w:p>
            <w:pPr>
              <w:keepNext w:val="0"/>
              <w:keepLines w:val="0"/>
              <w:suppressLineNumbers w:val="0"/>
              <w:spacing w:before="0" w:beforeAutospacing="0" w:after="0" w:afterAutospacing="0"/>
              <w:ind w:left="0" w:right="0"/>
              <w:jc w:val="center"/>
              <w:rPr>
                <w:rFonts w:hint="eastAsia"/>
                <w:b/>
                <w:color w:val="000000"/>
                <w:sz w:val="21"/>
                <w:szCs w:val="21"/>
              </w:rPr>
            </w:pPr>
            <w:r>
              <w:rPr>
                <w:rFonts w:hint="eastAsia"/>
                <w:b/>
                <w:color w:val="000000"/>
                <w:sz w:val="21"/>
                <w:szCs w:val="21"/>
              </w:rPr>
              <w:t>统计分类编码</w:t>
            </w:r>
          </w:p>
        </w:tc>
        <w:tc>
          <w:tcPr>
            <w:tcW w:w="4291" w:type="dxa"/>
            <w:tcBorders>
              <w:top w:val="single" w:color="auto" w:sz="12" w:space="0"/>
              <w:bottom w:val="single" w:color="auto" w:sz="12" w:space="0"/>
            </w:tcBorders>
            <w:vAlign w:val="center"/>
          </w:tcPr>
          <w:p>
            <w:pPr>
              <w:keepNext w:val="0"/>
              <w:keepLines w:val="0"/>
              <w:suppressLineNumbers w:val="0"/>
              <w:spacing w:before="0" w:beforeAutospacing="0" w:after="0" w:afterAutospacing="0"/>
              <w:ind w:left="0" w:right="0"/>
              <w:jc w:val="center"/>
              <w:rPr>
                <w:rFonts w:hint="eastAsia"/>
                <w:b/>
                <w:color w:val="000000"/>
                <w:sz w:val="21"/>
                <w:szCs w:val="21"/>
              </w:rPr>
            </w:pPr>
            <w:r>
              <w:rPr>
                <w:rFonts w:hint="eastAsia"/>
                <w:b/>
                <w:color w:val="000000"/>
                <w:sz w:val="21"/>
                <w:szCs w:val="21"/>
              </w:rPr>
              <w:t>名    称</w:t>
            </w:r>
          </w:p>
        </w:tc>
        <w:tc>
          <w:tcPr>
            <w:tcW w:w="859" w:type="dxa"/>
            <w:tcBorders>
              <w:top w:val="single" w:color="auto" w:sz="12" w:space="0"/>
              <w:bottom w:val="single" w:color="auto" w:sz="12" w:space="0"/>
            </w:tcBorders>
            <w:vAlign w:val="center"/>
          </w:tcPr>
          <w:p>
            <w:pPr>
              <w:keepNext w:val="0"/>
              <w:keepLines w:val="0"/>
              <w:suppressLineNumbers w:val="0"/>
              <w:spacing w:before="0" w:beforeAutospacing="0" w:after="0" w:afterAutospacing="0"/>
              <w:ind w:left="0" w:right="0"/>
              <w:jc w:val="center"/>
              <w:rPr>
                <w:rFonts w:hint="eastAsia"/>
                <w:b/>
                <w:color w:val="000000"/>
                <w:sz w:val="21"/>
                <w:szCs w:val="21"/>
              </w:rPr>
            </w:pPr>
            <w:r>
              <w:rPr>
                <w:rFonts w:hint="eastAsia"/>
                <w:b/>
                <w:color w:val="000000"/>
                <w:sz w:val="21"/>
                <w:szCs w:val="21"/>
              </w:rPr>
              <w:t>ID号</w:t>
            </w:r>
          </w:p>
        </w:tc>
        <w:tc>
          <w:tcPr>
            <w:tcW w:w="2504" w:type="dxa"/>
            <w:tcBorders>
              <w:top w:val="single" w:color="auto" w:sz="12" w:space="0"/>
              <w:bottom w:val="single" w:color="auto" w:sz="12" w:space="0"/>
            </w:tcBorders>
            <w:vAlign w:val="center"/>
          </w:tcPr>
          <w:p>
            <w:pPr>
              <w:keepNext w:val="0"/>
              <w:keepLines w:val="0"/>
              <w:suppressLineNumbers w:val="0"/>
              <w:spacing w:before="0" w:beforeAutospacing="0" w:after="0" w:afterAutospacing="0"/>
              <w:ind w:left="0" w:right="0"/>
              <w:jc w:val="center"/>
              <w:rPr>
                <w:rFonts w:hint="eastAsia"/>
                <w:b/>
                <w:color w:val="000000"/>
                <w:sz w:val="21"/>
                <w:szCs w:val="21"/>
              </w:rPr>
            </w:pPr>
            <w:r>
              <w:rPr>
                <w:rFonts w:hint="eastAsia"/>
                <w:b/>
                <w:color w:val="000000"/>
                <w:sz w:val="21"/>
                <w:szCs w:val="21"/>
              </w:rPr>
              <w:t>ICD-10编码</w:t>
            </w:r>
          </w:p>
        </w:tc>
      </w:tr>
      <w:tr>
        <w:tblPrEx>
          <w:tblLayout w:type="fixed"/>
          <w:tblCellMar>
            <w:top w:w="0" w:type="dxa"/>
            <w:left w:w="108" w:type="dxa"/>
            <w:bottom w:w="0" w:type="dxa"/>
            <w:right w:w="108" w:type="dxa"/>
          </w:tblCellMar>
        </w:tblPrEx>
        <w:trPr>
          <w:trHeight w:val="454" w:hRule="atLeast"/>
        </w:trPr>
        <w:tc>
          <w:tcPr>
            <w:tcW w:w="1985" w:type="dxa"/>
            <w:tcBorders>
              <w:top w:val="single" w:color="auto" w:sz="12" w:space="0"/>
            </w:tcBorders>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010000</w:t>
            </w:r>
          </w:p>
        </w:tc>
        <w:tc>
          <w:tcPr>
            <w:tcW w:w="4291" w:type="dxa"/>
            <w:tcBorders>
              <w:top w:val="single" w:color="auto" w:sz="12" w:space="0"/>
            </w:tcBorders>
            <w:vAlign w:val="center"/>
          </w:tcPr>
          <w:p>
            <w:pPr>
              <w:keepNext w:val="0"/>
              <w:keepLines w:val="0"/>
              <w:widowControl/>
              <w:suppressLineNumbers w:val="0"/>
              <w:spacing w:before="0" w:beforeAutospacing="0" w:after="0" w:afterAutospacing="0"/>
              <w:ind w:left="0" w:right="0"/>
              <w:jc w:val="left"/>
              <w:rPr>
                <w:rFonts w:hint="eastAsia" w:cs="宋体"/>
                <w:kern w:val="0"/>
                <w:sz w:val="21"/>
                <w:szCs w:val="21"/>
              </w:rPr>
            </w:pPr>
            <w:r>
              <w:rPr>
                <w:rFonts w:hint="eastAsia" w:cs="宋体"/>
                <w:kern w:val="0"/>
                <w:sz w:val="21"/>
                <w:szCs w:val="21"/>
              </w:rPr>
              <w:t>意外伤害</w:t>
            </w:r>
          </w:p>
        </w:tc>
        <w:tc>
          <w:tcPr>
            <w:tcW w:w="859" w:type="dxa"/>
            <w:tcBorders>
              <w:top w:val="single" w:color="auto" w:sz="12" w:space="0"/>
            </w:tcBorders>
            <w:vAlign w:val="center"/>
          </w:tcPr>
          <w:p>
            <w:pPr>
              <w:keepNext w:val="0"/>
              <w:keepLines w:val="0"/>
              <w:suppressLineNumbers w:val="0"/>
              <w:spacing w:before="0" w:beforeAutospacing="0" w:after="0" w:afterAutospacing="0"/>
              <w:ind w:left="0" w:right="0"/>
              <w:jc w:val="left"/>
              <w:rPr>
                <w:rFonts w:hint="eastAsia"/>
                <w:sz w:val="21"/>
                <w:szCs w:val="21"/>
              </w:rPr>
            </w:pPr>
          </w:p>
        </w:tc>
        <w:tc>
          <w:tcPr>
            <w:tcW w:w="2504" w:type="dxa"/>
            <w:tcBorders>
              <w:top w:val="single" w:color="auto" w:sz="12" w:space="0"/>
            </w:tcBorders>
            <w:vAlign w:val="center"/>
          </w:tcPr>
          <w:p>
            <w:pPr>
              <w:keepNext w:val="0"/>
              <w:keepLines w:val="0"/>
              <w:suppressLineNumbers w:val="0"/>
              <w:spacing w:before="0" w:beforeAutospacing="0" w:after="0" w:afterAutospacing="0"/>
              <w:ind w:left="0" w:right="0"/>
              <w:jc w:val="left"/>
              <w:rPr>
                <w:rFonts w:hint="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010100</w:t>
            </w:r>
          </w:p>
        </w:tc>
        <w:tc>
          <w:tcPr>
            <w:tcW w:w="4291" w:type="dxa"/>
            <w:vAlign w:val="center"/>
          </w:tcPr>
          <w:p>
            <w:pPr>
              <w:keepNext w:val="0"/>
              <w:keepLines w:val="0"/>
              <w:suppressLineNumbers w:val="0"/>
              <w:spacing w:before="0" w:beforeAutospacing="0" w:after="0" w:afterAutospacing="0"/>
              <w:ind w:left="0" w:right="0" w:firstLine="210" w:firstLineChars="100"/>
              <w:jc w:val="left"/>
              <w:rPr>
                <w:rFonts w:hint="eastAsia"/>
                <w:sz w:val="21"/>
                <w:szCs w:val="21"/>
              </w:rPr>
            </w:pPr>
            <w:r>
              <w:rPr>
                <w:rFonts w:hint="eastAsia"/>
                <w:sz w:val="21"/>
                <w:szCs w:val="21"/>
              </w:rPr>
              <w:t>头部损伤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900</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S00-S09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010200</w:t>
            </w:r>
          </w:p>
        </w:tc>
        <w:tc>
          <w:tcPr>
            <w:tcW w:w="4291" w:type="dxa"/>
            <w:vAlign w:val="center"/>
          </w:tcPr>
          <w:p>
            <w:pPr>
              <w:keepNext w:val="0"/>
              <w:keepLines w:val="0"/>
              <w:suppressLineNumbers w:val="0"/>
              <w:spacing w:before="0" w:beforeAutospacing="0" w:after="0" w:afterAutospacing="0"/>
              <w:ind w:left="0" w:right="0" w:firstLine="210" w:firstLineChars="100"/>
              <w:jc w:val="left"/>
              <w:rPr>
                <w:rFonts w:hint="eastAsia"/>
                <w:sz w:val="21"/>
                <w:szCs w:val="21"/>
              </w:rPr>
            </w:pPr>
            <w:r>
              <w:rPr>
                <w:rFonts w:hint="eastAsia"/>
                <w:sz w:val="21"/>
                <w:szCs w:val="21"/>
              </w:rPr>
              <w:t>颈部损伤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901</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S10-S19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tcBorders>
              <w:bottom w:val="single" w:color="auto" w:sz="6" w:space="0"/>
            </w:tcBorders>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010300</w:t>
            </w:r>
          </w:p>
        </w:tc>
        <w:tc>
          <w:tcPr>
            <w:tcW w:w="4291" w:type="dxa"/>
            <w:tcBorders>
              <w:bottom w:val="single" w:color="auto" w:sz="6" w:space="0"/>
            </w:tcBorders>
            <w:vAlign w:val="center"/>
          </w:tcPr>
          <w:p>
            <w:pPr>
              <w:keepNext w:val="0"/>
              <w:keepLines w:val="0"/>
              <w:suppressLineNumbers w:val="0"/>
              <w:spacing w:before="0" w:beforeAutospacing="0" w:after="0" w:afterAutospacing="0"/>
              <w:ind w:left="0" w:right="0" w:firstLine="210" w:firstLineChars="100"/>
              <w:jc w:val="left"/>
              <w:rPr>
                <w:rFonts w:hint="eastAsia"/>
                <w:sz w:val="21"/>
                <w:szCs w:val="21"/>
              </w:rPr>
            </w:pPr>
            <w:r>
              <w:rPr>
                <w:rFonts w:hint="eastAsia"/>
                <w:sz w:val="21"/>
                <w:szCs w:val="21"/>
              </w:rPr>
              <w:t>胸部损伤</w:t>
            </w:r>
          </w:p>
        </w:tc>
        <w:tc>
          <w:tcPr>
            <w:tcW w:w="859" w:type="dxa"/>
            <w:tcBorders>
              <w:bottom w:val="single" w:color="auto" w:sz="6" w:space="0"/>
            </w:tcBorders>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902</w:t>
            </w:r>
          </w:p>
        </w:tc>
        <w:tc>
          <w:tcPr>
            <w:tcW w:w="2504" w:type="dxa"/>
            <w:tcBorders>
              <w:bottom w:val="single" w:color="auto" w:sz="6" w:space="0"/>
            </w:tcBorders>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S20-S29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010400</w:t>
            </w:r>
          </w:p>
        </w:tc>
        <w:tc>
          <w:tcPr>
            <w:tcW w:w="4291" w:type="dxa"/>
            <w:vAlign w:val="center"/>
          </w:tcPr>
          <w:p>
            <w:pPr>
              <w:keepNext w:val="0"/>
              <w:keepLines w:val="0"/>
              <w:suppressLineNumbers w:val="0"/>
              <w:spacing w:before="0" w:beforeAutospacing="0" w:after="0" w:afterAutospacing="0"/>
              <w:ind w:left="0" w:right="0" w:firstLine="210" w:firstLineChars="100"/>
              <w:jc w:val="left"/>
              <w:rPr>
                <w:rFonts w:hint="eastAsia"/>
                <w:sz w:val="21"/>
                <w:szCs w:val="21"/>
              </w:rPr>
            </w:pPr>
            <w:r>
              <w:rPr>
                <w:rFonts w:hint="eastAsia"/>
                <w:sz w:val="21"/>
                <w:szCs w:val="21"/>
              </w:rPr>
              <w:t>腹部、下背、腰椎和骨盆损伤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903</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S30-S39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010500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肩和上臂损伤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904</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S40-S49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010600</w:t>
            </w:r>
          </w:p>
        </w:tc>
        <w:tc>
          <w:tcPr>
            <w:tcW w:w="4291" w:type="dxa"/>
            <w:vAlign w:val="center"/>
          </w:tcPr>
          <w:p>
            <w:pPr>
              <w:keepNext w:val="0"/>
              <w:keepLines w:val="0"/>
              <w:suppressLineNumbers w:val="0"/>
              <w:spacing w:before="0" w:beforeAutospacing="0" w:after="0" w:afterAutospacing="0"/>
              <w:ind w:left="0" w:right="0" w:firstLine="210" w:firstLineChars="100"/>
              <w:jc w:val="left"/>
              <w:rPr>
                <w:rFonts w:hint="eastAsia"/>
                <w:sz w:val="21"/>
                <w:szCs w:val="21"/>
              </w:rPr>
            </w:pPr>
            <w:r>
              <w:rPr>
                <w:rFonts w:hint="eastAsia"/>
                <w:sz w:val="21"/>
                <w:szCs w:val="21"/>
              </w:rPr>
              <w:t>肘和前臂损伤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905</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S50-S59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010700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腕和手损伤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906</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S60-S69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010800</w:t>
            </w:r>
          </w:p>
        </w:tc>
        <w:tc>
          <w:tcPr>
            <w:tcW w:w="4291" w:type="dxa"/>
            <w:vAlign w:val="center"/>
          </w:tcPr>
          <w:p>
            <w:pPr>
              <w:keepNext w:val="0"/>
              <w:keepLines w:val="0"/>
              <w:suppressLineNumbers w:val="0"/>
              <w:spacing w:before="0" w:beforeAutospacing="0" w:after="0" w:afterAutospacing="0"/>
              <w:ind w:left="0" w:right="0" w:firstLine="210" w:firstLineChars="100"/>
              <w:jc w:val="left"/>
              <w:rPr>
                <w:rFonts w:hint="eastAsia"/>
                <w:sz w:val="21"/>
                <w:szCs w:val="21"/>
              </w:rPr>
            </w:pPr>
            <w:r>
              <w:rPr>
                <w:rFonts w:hint="eastAsia"/>
                <w:sz w:val="21"/>
                <w:szCs w:val="21"/>
              </w:rPr>
              <w:t>髋和大腿损伤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907</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S70-S79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010900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膝和小腿损伤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908</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S80-S89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011000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踝和足损伤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909</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S90-S99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011100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累及身体多个部位的损伤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910</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T00-T07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011200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躯干、四肢或身体未特指部位的损伤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911</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T08-T14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011300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通过自然腔口进入异物的效应</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912</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T15-T19</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011400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身体外表面烧伤和腐蚀伤,按部位特指者</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913</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T20-T25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011500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限于眼和内部器官的烧伤和腐蚀伤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914</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T26-T28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011600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身体多个部位和未特指部位的烧伤和瘸蚀伤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915</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T29-T32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011700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冻伤</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916</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T33-T35</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011800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药物、药剂和生物制品中毒</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917</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T36-T50</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011900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主要为非药用物质的毒性效应</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918</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T51-T65</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012000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外因的其他和未特指的效应</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919</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T66-T78</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012100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创伤的某些早期并发症</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920</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T79</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012200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手术和医疗的并发症,不可归类在他处者</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921</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T80-T88</w:t>
            </w:r>
          </w:p>
        </w:tc>
      </w:tr>
      <w:tr>
        <w:tblPrEx>
          <w:tblLayout w:type="fixed"/>
          <w:tblCellMar>
            <w:top w:w="0" w:type="dxa"/>
            <w:left w:w="108" w:type="dxa"/>
            <w:bottom w:w="0" w:type="dxa"/>
            <w:right w:w="108" w:type="dxa"/>
          </w:tblCellMar>
        </w:tblPrEx>
        <w:trPr>
          <w:trHeight w:val="454" w:hRule="atLeast"/>
        </w:trPr>
        <w:tc>
          <w:tcPr>
            <w:tcW w:w="1985"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012300</w:t>
            </w:r>
          </w:p>
        </w:tc>
        <w:tc>
          <w:tcPr>
            <w:tcW w:w="4291"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 xml:space="preserve">  损伤、中毒和外因的其他后果的后遗症</w:t>
            </w:r>
          </w:p>
        </w:tc>
        <w:tc>
          <w:tcPr>
            <w:tcW w:w="859"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922</w:t>
            </w:r>
          </w:p>
        </w:tc>
        <w:tc>
          <w:tcPr>
            <w:tcW w:w="2504" w:type="dxa"/>
            <w:vAlign w:val="center"/>
          </w:tcPr>
          <w:p>
            <w:pPr>
              <w:keepNext w:val="0"/>
              <w:keepLines w:val="0"/>
              <w:suppressLineNumbers w:val="0"/>
              <w:spacing w:before="0" w:beforeAutospacing="0" w:after="0" w:afterAutospacing="0"/>
              <w:ind w:left="0" w:right="0"/>
              <w:jc w:val="left"/>
              <w:rPr>
                <w:rFonts w:hint="eastAsia"/>
                <w:sz w:val="21"/>
                <w:szCs w:val="21"/>
              </w:rPr>
            </w:pPr>
            <w:r>
              <w:rPr>
                <w:rFonts w:hint="eastAsia"/>
                <w:sz w:val="21"/>
                <w:szCs w:val="21"/>
              </w:rPr>
              <w:t>T90-T98</w:t>
            </w:r>
          </w:p>
        </w:tc>
      </w:tr>
    </w:tbl>
    <w:p>
      <w:pPr>
        <w:jc w:val="left"/>
      </w:pPr>
    </w:p>
    <w:p>
      <w:pPr>
        <w:pStyle w:val="3"/>
        <w:numPr>
          <w:ilvl w:val="0"/>
          <w:numId w:val="3"/>
        </w:numPr>
        <w:spacing w:before="0" w:after="0" w:line="360" w:lineRule="auto"/>
        <w:jc w:val="left"/>
      </w:pPr>
      <w:r>
        <w:t>HACT15.00.004  样本传递方式代码表</w:t>
      </w:r>
    </w:p>
    <w:p>
      <w:pPr>
        <w:numPr>
          <w:ilvl w:val="255"/>
          <w:numId w:val="0"/>
        </w:numPr>
        <w:jc w:val="left"/>
        <w:rPr>
          <w:b/>
        </w:rPr>
      </w:pPr>
      <w:r>
        <w:rPr>
          <w:rFonts w:hint="eastAsia"/>
          <w:b/>
        </w:rPr>
        <w:t>引用标准文号：</w:t>
      </w:r>
      <w:r>
        <w:rPr>
          <w:b/>
        </w:rPr>
        <w:t>无。</w:t>
      </w:r>
    </w:p>
    <w:p>
      <w:r>
        <w:rPr>
          <w:rFonts w:hint="eastAsia"/>
          <w:b/>
        </w:rPr>
        <w:t>说明：</w:t>
      </w:r>
      <w:r>
        <w:rPr>
          <w:b/>
        </w:rPr>
        <w:t>适用检验报告填写。</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中心取回</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医院送检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科室送检</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其他方式</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HACT15.00.005 检验样本类型代码表</w:t>
      </w:r>
    </w:p>
    <w:p>
      <w:pPr>
        <w:numPr>
          <w:ilvl w:val="255"/>
          <w:numId w:val="0"/>
        </w:numPr>
        <w:jc w:val="left"/>
        <w:rPr>
          <w:b/>
        </w:rPr>
      </w:pPr>
      <w:r>
        <w:rPr>
          <w:rFonts w:hint="eastAsia"/>
          <w:b/>
        </w:rPr>
        <w:t>引用标准文号：</w:t>
      </w:r>
      <w:r>
        <w:rPr>
          <w:b/>
        </w:rPr>
        <w:t>GB/T 39768-2021人类生物样本分类与编码。</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血液类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餐后30分钟血清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餐后60分钟血清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餐后120分钟血清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餐后180分钟血清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餐后300分钟血清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运动后30分钟血清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运动后60分钟血清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运动后90分钟血清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激发试验30分钟血清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激发试验60分钟血清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激发试验90分钟血清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0114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激发试验120分钟血清</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餐后30分钟血浆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餐后60分钟血浆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餐后120分钟血浆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餐后180分钟血浆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餐后300分钟血浆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运动后30分钟血浆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运动后60分钟血浆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0128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运动后90分钟血浆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体液类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尿液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中段尿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胸水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腹水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脑脊液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前列腺液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精液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灌洗液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肺泡灌洗液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纤支镜洗液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脓液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唾液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囊液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积液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心包积液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0225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前房积脓液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骨髓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疱液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引流液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渗出液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穿刺液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组织液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关节腔液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胆汁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 xml:space="preserve">反渗水 </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0239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透析液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0240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透析用水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0241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透析液进水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0242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透析液出水</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分泌物类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呕吐物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赘生物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坏死物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鼻腔分泌物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舌苔分泌物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溃疡分泌物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生殖道分泌物</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白带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9900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痰</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粪便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拭子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咽拭子</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支气管刷片</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导管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动脉导管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静脉导管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9914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导尿管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9915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其他导管</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9920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空气培养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HACT15.00.006  中医药保健指导方法代码表</w:t>
      </w:r>
    </w:p>
    <w:p>
      <w:pPr>
        <w:numPr>
          <w:ilvl w:val="255"/>
          <w:numId w:val="0"/>
        </w:numPr>
        <w:jc w:val="left"/>
        <w:rPr>
          <w:b/>
        </w:rPr>
      </w:pPr>
      <w:r>
        <w:rPr>
          <w:rFonts w:hint="eastAsia"/>
          <w:b/>
        </w:rPr>
        <w:t>引用标准文号：</w:t>
      </w:r>
      <w:r>
        <w:rPr>
          <w:b/>
        </w:rPr>
        <w:t>《国家基本公共卫生服务规范(第三版)》(国卫基层发〔2017〕13号)、老年人中医药健康管理服务记录表。</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情志调摄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饮食调养</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起居调摄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运动保健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穴位保健</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HACT15.00.007 治疗处置项目分类代码</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手术治疗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放射治疗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核素治疗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化学治疗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超声治疗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理疗治疗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康复治疗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51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处置操作</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其他治疗</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HACT15.00.008 检验结果值类型代码表</w:t>
      </w:r>
    </w:p>
    <w:p>
      <w:pPr>
        <w:numPr>
          <w:ilvl w:val="255"/>
          <w:numId w:val="0"/>
        </w:numPr>
        <w:jc w:val="left"/>
        <w:rPr>
          <w:b/>
        </w:rPr>
      </w:pPr>
      <w:r>
        <w:rPr>
          <w:rFonts w:hint="eastAsia"/>
          <w:b/>
        </w:rPr>
        <w:t>引用标准文号：</w:t>
      </w:r>
      <w:r>
        <w:rPr>
          <w:b/>
        </w:rPr>
        <w:t>无。</w:t>
      </w:r>
    </w:p>
    <w:p>
      <w:r>
        <w:rPr>
          <w:rFonts w:hint="eastAsia"/>
          <w:b/>
        </w:rPr>
        <w:t>说明：</w:t>
      </w:r>
      <w:r>
        <w:rPr>
          <w:b/>
        </w:rPr>
        <w:t>记录检验结果数据类型的代码。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数值型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阴阳型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字符型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字符数值混合型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新增</w:t>
            </w:r>
          </w:p>
        </w:tc>
      </w:tr>
    </w:tbl>
    <w:p>
      <w:pPr>
        <w:pStyle w:val="3"/>
        <w:numPr>
          <w:ilvl w:val="0"/>
          <w:numId w:val="3"/>
        </w:numPr>
        <w:spacing w:before="0" w:after="0" w:line="360" w:lineRule="auto"/>
        <w:jc w:val="left"/>
      </w:pPr>
      <w:r>
        <w:t>HACT15.00.413 艾滋病样本来源代码表</w:t>
      </w:r>
    </w:p>
    <w:p>
      <w:pPr>
        <w:numPr>
          <w:ilvl w:val="255"/>
          <w:numId w:val="0"/>
        </w:numPr>
        <w:jc w:val="left"/>
        <w:rPr>
          <w:b/>
        </w:rPr>
      </w:pPr>
      <w:r>
        <w:rPr>
          <w:rFonts w:hint="eastAsia"/>
          <w:b/>
        </w:rPr>
        <w:t>引用标准文号：</w:t>
      </w:r>
      <w:r>
        <w:rPr>
          <w:b/>
        </w:rPr>
        <w:t>无。</w:t>
      </w:r>
    </w:p>
    <w:p>
      <w:pPr>
        <w:jc w:val="left"/>
      </w:pPr>
      <w:r>
        <w:rPr>
          <w:rFonts w:hint="eastAsia"/>
          <w:b/>
        </w:rPr>
        <w:t>说明：</w:t>
      </w:r>
      <w:r>
        <w:rPr>
          <w:rFonts w:hint="eastAsia"/>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335"/>
        <w:gridCol w:w="5093"/>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335"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509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术前检测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受血(制品)前检测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性病门诊</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其他就诊者检测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婚前检查(含涉外婚姻)</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孕产期检查</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检测咨询</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阳性者配偶或性伴检测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女性阳性者子女检测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职业暴露检测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娱乐场所人员体检</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有偿供血(浆)人员检测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无偿献血人员检测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14</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出入境人员体检</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15</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新兵体检</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16</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强制/劳教戒毒人员检测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17</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妇教所/女劳收教人员检测</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18</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其他羁押人员体检</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19</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专题调查</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20</w:t>
            </w:r>
          </w:p>
        </w:tc>
        <w:tc>
          <w:tcPr>
            <w:tcW w:w="3335"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5093"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HACT15.00.414 艾滋病感染途径代码表</w:t>
      </w:r>
    </w:p>
    <w:p>
      <w:pPr>
        <w:numPr>
          <w:ilvl w:val="255"/>
          <w:numId w:val="0"/>
        </w:numPr>
        <w:jc w:val="left"/>
        <w:rPr>
          <w:b/>
        </w:rPr>
      </w:pPr>
      <w:r>
        <w:rPr>
          <w:rFonts w:hint="eastAsia"/>
          <w:b/>
        </w:rPr>
        <w:t>引用标准文号：</w:t>
      </w:r>
      <w:r>
        <w:rPr>
          <w:b/>
        </w:rPr>
        <w:t>无。</w:t>
      </w:r>
    </w:p>
    <w:p>
      <w:pPr>
        <w:jc w:val="left"/>
      </w:pPr>
      <w:r>
        <w:rPr>
          <w:rFonts w:hint="eastAsia"/>
          <w:b/>
        </w:rPr>
        <w:t>说明：</w:t>
      </w:r>
      <w:r>
        <w:rPr>
          <w:rFonts w:hint="eastAsia"/>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注射毒品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异性传播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同性传播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性接触+注射毒品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采血(浆)</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输血/血制品</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母婴传播</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职业暴露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HACT15.00.415 艾滋病接触情况代码表</w:t>
      </w:r>
    </w:p>
    <w:p>
      <w:pPr>
        <w:jc w:val="left"/>
      </w:pPr>
      <w:r>
        <w:rPr>
          <w:rFonts w:hint="eastAsia"/>
          <w:b/>
        </w:rPr>
        <w:t>引用标准文号：</w:t>
      </w:r>
      <w:r>
        <w:rPr>
          <w:b/>
        </w:rPr>
        <w:t>无。</w:t>
      </w:r>
    </w:p>
    <w:p>
      <w:pPr>
        <w:jc w:val="left"/>
      </w:pPr>
      <w:r>
        <w:rPr>
          <w:rFonts w:hint="eastAsia"/>
        </w:rPr>
        <w:t>说明：无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注射毒品史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非婚异性性接触史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配偶/固定性伴阳性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男男性行为史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献血（浆）史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输血/血制品史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母亲阳性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职业暴露史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09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手术史</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10</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不详</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非商业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商业</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HACT15.00.416 艾滋病检测结果代码表</w:t>
      </w:r>
    </w:p>
    <w:p>
      <w:pPr>
        <w:numPr>
          <w:ilvl w:val="255"/>
          <w:numId w:val="0"/>
        </w:numPr>
        <w:jc w:val="left"/>
        <w:rPr>
          <w:b/>
        </w:rPr>
      </w:pPr>
      <w:r>
        <w:rPr>
          <w:rFonts w:hint="eastAsia"/>
          <w:b/>
        </w:rPr>
        <w:t>引用标准文号：</w:t>
      </w:r>
      <w:r>
        <w:rPr>
          <w:b/>
        </w:rPr>
        <w:t>无。</w:t>
      </w:r>
    </w:p>
    <w:p>
      <w:pPr>
        <w:jc w:val="left"/>
      </w:pPr>
      <w:r>
        <w:rPr>
          <w:rFonts w:hint="eastAsia"/>
          <w:b/>
        </w:rPr>
        <w:t>说明：</w:t>
      </w:r>
      <w:r>
        <w:rPr>
          <w:rFonts w:hint="eastAsia"/>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确认结果阳性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替代策略检测阳性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核酸检测阳性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HACT15.00.417 生殖道沙眼衣原体感染编码</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确诊病例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无症状感染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HACT15.00.418 手足口病检测结果代码表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EV71</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Cox、A16</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其他肠道病毒</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 xml:space="preserve">HACT15.00.419 </w:t>
      </w:r>
      <w:r>
        <w:rPr>
          <w:rFonts w:hint="eastAsia" w:eastAsia="等线" w:cs="宋体"/>
          <w:color w:val="0D0D0D"/>
          <w:lang w:bidi="ar"/>
        </w:rPr>
        <w:t>乙肝HBsAg阳性时间代码表</w:t>
      </w:r>
      <w:r>
        <w:rPr>
          <w:rFonts w:cs="宋体"/>
          <w:sz w:val="24"/>
          <w:szCs w:val="24"/>
        </w:rPr>
        <w:t xml:space="preserve"> </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3052"/>
        <w:gridCol w:w="5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3052"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5376"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大于6个月</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6个月内由阴性转为阳性</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3052"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既往未检测或结果不详</w:t>
            </w:r>
          </w:p>
        </w:tc>
        <w:tc>
          <w:tcPr>
            <w:tcW w:w="5376"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jc w:val="left"/>
      </w:pPr>
    </w:p>
    <w:p>
      <w:pPr>
        <w:pStyle w:val="3"/>
        <w:numPr>
          <w:ilvl w:val="0"/>
          <w:numId w:val="3"/>
        </w:numPr>
        <w:spacing w:before="0" w:after="0" w:line="360" w:lineRule="auto"/>
        <w:jc w:val="left"/>
      </w:pPr>
      <w:r>
        <w:t>HACT15.00.420 肝穿刺检测结果代码表</w:t>
      </w:r>
    </w:p>
    <w:p>
      <w:pPr>
        <w:numPr>
          <w:ilvl w:val="255"/>
          <w:numId w:val="0"/>
        </w:numPr>
        <w:jc w:val="left"/>
        <w:rPr>
          <w:b/>
        </w:rPr>
      </w:pPr>
      <w:r>
        <w:rPr>
          <w:rFonts w:hint="eastAsia"/>
          <w:b/>
        </w:rPr>
        <w:t>引用标准文号：</w:t>
      </w:r>
      <w:r>
        <w:rPr>
          <w:b/>
        </w:rPr>
        <w:t>无。</w:t>
      </w:r>
    </w:p>
    <w:p>
      <w:r>
        <w:rPr>
          <w:rFonts w:hint="eastAsia"/>
          <w:b/>
        </w:rPr>
        <w:t>说明：</w:t>
      </w:r>
      <w:r>
        <w:rPr>
          <w:b/>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rPr>
            </w:pPr>
            <w:r>
              <w:rPr>
                <w:rFonts w:hint="eastAsia"/>
                <w:b/>
                <w:sz w:val="21"/>
              </w:rPr>
              <w:t>说明</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急性病变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慢性病变</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r>
              <w:rPr>
                <w:rFonts w:hint="eastAsia"/>
                <w:sz w:val="21"/>
              </w:rPr>
              <w:t>没有检测</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rPr>
            </w:pPr>
          </w:p>
        </w:tc>
      </w:tr>
    </w:tbl>
    <w:p>
      <w:pPr>
        <w:pStyle w:val="3"/>
        <w:numPr>
          <w:ilvl w:val="0"/>
          <w:numId w:val="3"/>
        </w:numPr>
        <w:spacing w:before="0" w:after="0" w:line="360" w:lineRule="auto"/>
        <w:jc w:val="left"/>
        <w:rPr>
          <w:woUserID w:val="5"/>
        </w:rPr>
      </w:pPr>
      <w:r>
        <w:rPr>
          <w:woUserID w:val="5"/>
        </w:rPr>
        <w:t>HACT13.00.025 挂号分类代码表</w:t>
      </w:r>
    </w:p>
    <w:p>
      <w:pPr>
        <w:numPr>
          <w:ilvl w:val="255"/>
          <w:numId w:val="0"/>
        </w:numPr>
        <w:jc w:val="left"/>
        <w:rPr>
          <w:b/>
          <w:woUserID w:val="5"/>
        </w:rPr>
      </w:pPr>
      <w:r>
        <w:rPr>
          <w:rFonts w:hint="eastAsia"/>
          <w:b/>
          <w:woUserID w:val="5"/>
        </w:rPr>
        <w:t>引用标准文号：</w:t>
      </w:r>
      <w:r>
        <w:rPr>
          <w:b/>
          <w:woUserID w:val="5"/>
        </w:rPr>
        <w:t>无。</w:t>
      </w:r>
    </w:p>
    <w:p>
      <w:pPr>
        <w:rPr>
          <w:woUserID w:val="5"/>
        </w:rPr>
      </w:pPr>
      <w:r>
        <w:rPr>
          <w:rFonts w:hint="eastAsia"/>
          <w:b/>
          <w:woUserID w:val="5"/>
        </w:rPr>
        <w:t>说明：</w:t>
      </w:r>
      <w:r>
        <w:rPr>
          <w:b/>
          <w:woUserID w:val="5"/>
        </w:rPr>
        <w:t>源自河南省诊疗服务目录</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r>
              <w:rPr>
                <w:rFonts w:hint="eastAsia"/>
                <w:sz w:val="21"/>
                <w:woUserID w:val="5"/>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一般医师号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r>
              <w:rPr>
                <w:rFonts w:hint="eastAsia"/>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主治医师号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r>
              <w:rPr>
                <w:rFonts w:hint="eastAsia"/>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副主任医师号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主任医师号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5</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国家级知名专家号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6</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省级知名专家号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7</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互联网复诊号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8</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国医大师号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其他号</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eastAsia"/>
                <w:sz w:val="21"/>
                <w:woUserID w:val="5"/>
              </w:rPr>
            </w:pPr>
          </w:p>
        </w:tc>
      </w:tr>
    </w:tbl>
    <w:p>
      <w:pPr>
        <w:pStyle w:val="3"/>
        <w:numPr>
          <w:ilvl w:val="0"/>
          <w:numId w:val="3"/>
        </w:numPr>
        <w:spacing w:before="0" w:after="0" w:line="360" w:lineRule="auto"/>
        <w:jc w:val="left"/>
        <w:rPr>
          <w:woUserID w:val="5"/>
        </w:rPr>
      </w:pPr>
      <w:r>
        <w:rPr>
          <w:woUserID w:val="5"/>
        </w:rPr>
        <w:t>HACT02.00.084 眼部疾病代码组合表</w:t>
      </w:r>
    </w:p>
    <w:p>
      <w:pPr>
        <w:numPr>
          <w:ilvl w:val="255"/>
          <w:numId w:val="0"/>
        </w:numPr>
        <w:jc w:val="left"/>
        <w:rPr>
          <w:b/>
          <w:woUserID w:val="5"/>
        </w:rPr>
      </w:pPr>
      <w:r>
        <w:rPr>
          <w:rFonts w:hint="eastAsia"/>
          <w:b/>
          <w:woUserID w:val="5"/>
        </w:rPr>
        <w:t>引用标准文号：</w:t>
      </w:r>
      <w:r>
        <w:rPr>
          <w:b/>
          <w:woUserID w:val="5"/>
        </w:rPr>
        <w:t>无。</w:t>
      </w:r>
    </w:p>
    <w:p>
      <w:pPr>
        <w:rPr>
          <w:woUserID w:val="5"/>
        </w:rPr>
      </w:pPr>
      <w:r>
        <w:rPr>
          <w:rFonts w:hint="eastAsia"/>
          <w:b/>
          <w:woUserID w:val="5"/>
        </w:rPr>
        <w:t>说明：</w:t>
      </w:r>
      <w:r>
        <w:rPr>
          <w:b/>
          <w:woUserID w:val="5"/>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视网膜出血或渗出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H35.6</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视乳头水肿</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H47.1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白内障</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H26.9</w:t>
            </w:r>
          </w:p>
        </w:tc>
      </w:tr>
    </w:tbl>
    <w:p>
      <w:pPr>
        <w:pStyle w:val="3"/>
        <w:numPr>
          <w:ilvl w:val="0"/>
          <w:numId w:val="3"/>
        </w:numPr>
        <w:spacing w:before="0" w:after="0" w:line="360" w:lineRule="auto"/>
        <w:jc w:val="left"/>
        <w:rPr>
          <w:woUserID w:val="5"/>
        </w:rPr>
      </w:pPr>
      <w:r>
        <w:rPr>
          <w:woUserID w:val="5"/>
        </w:rPr>
        <w:t>HACT01.00.001 医院等级代码表</w:t>
      </w:r>
    </w:p>
    <w:p>
      <w:pPr>
        <w:numPr>
          <w:ilvl w:val="255"/>
          <w:numId w:val="0"/>
        </w:numPr>
        <w:jc w:val="left"/>
        <w:rPr>
          <w:b/>
          <w:woUserID w:val="5"/>
        </w:rPr>
      </w:pPr>
      <w:r>
        <w:rPr>
          <w:rFonts w:hint="eastAsia"/>
          <w:b/>
          <w:woUserID w:val="5"/>
        </w:rPr>
        <w:t>引用标准文号：</w:t>
      </w:r>
      <w:r>
        <w:rPr>
          <w:b/>
          <w:woUserID w:val="5"/>
        </w:rPr>
        <w:t>无。</w:t>
      </w:r>
    </w:p>
    <w:p>
      <w:pPr>
        <w:rPr>
          <w:woUserID w:val="5"/>
        </w:rPr>
      </w:pPr>
      <w:r>
        <w:rPr>
          <w:rFonts w:hint="eastAsia"/>
          <w:b/>
          <w:woUserID w:val="5"/>
        </w:rPr>
        <w:t>说明：</w:t>
      </w:r>
      <w:r>
        <w:rPr>
          <w:b/>
          <w:woUserID w:val="5"/>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12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一级甲等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13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一级乙等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14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一级丙等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19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一级未评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二级甲等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二级乙等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二级丙等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二级未评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三级特等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三级甲等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三级乙等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三级丙等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三级未评</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99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bl>
    <w:p>
      <w:pPr>
        <w:pStyle w:val="3"/>
        <w:numPr>
          <w:ilvl w:val="0"/>
          <w:numId w:val="3"/>
        </w:numPr>
        <w:spacing w:before="0" w:after="0" w:line="360" w:lineRule="auto"/>
        <w:jc w:val="left"/>
        <w:rPr>
          <w:woUserID w:val="5"/>
        </w:rPr>
      </w:pPr>
      <w:r>
        <w:rPr>
          <w:woUserID w:val="5"/>
        </w:rPr>
        <w:t>HACT01.00.002 医院级别代码表</w:t>
      </w:r>
    </w:p>
    <w:p>
      <w:pPr>
        <w:numPr>
          <w:ilvl w:val="255"/>
          <w:numId w:val="0"/>
        </w:numPr>
        <w:jc w:val="left"/>
        <w:rPr>
          <w:b/>
          <w:woUserID w:val="5"/>
        </w:rPr>
      </w:pPr>
      <w:r>
        <w:rPr>
          <w:rFonts w:hint="eastAsia"/>
          <w:b/>
          <w:woUserID w:val="5"/>
        </w:rPr>
        <w:t>引用标准文号：</w:t>
      </w:r>
      <w:r>
        <w:rPr>
          <w:b w:val="0"/>
          <w:bCs w:val="0"/>
          <w:woUserID w:val="4"/>
        </w:rPr>
        <w:t>《全国卫生资源与医疗服务统计调查制度 》(2021年)(国卫规划函〔2021〕184号),</w:t>
      </w:r>
      <w:r>
        <w:rPr>
          <w:rFonts w:hint="eastAsia"/>
          <w:b w:val="0"/>
          <w:bCs w:val="0"/>
          <w:lang w:val="en-US" w:eastAsia="zh-CN"/>
          <w:woUserID w:val="4"/>
        </w:rPr>
        <w:t>卫健统 1-1</w:t>
      </w:r>
      <w:r>
        <w:rPr>
          <w:b w:val="0"/>
          <w:bCs w:val="0"/>
          <w:lang w:eastAsia="zh-CN"/>
          <w:woUserID w:val="4"/>
        </w:rPr>
        <w:t xml:space="preserve"> </w:t>
      </w:r>
      <w:r>
        <w:rPr>
          <w:b w:val="0"/>
          <w:bCs w:val="0"/>
          <w:woUserID w:val="4"/>
        </w:rPr>
        <w:t>。</w:t>
      </w:r>
    </w:p>
    <w:p>
      <w:pPr>
        <w:rPr>
          <w:woUserID w:val="5"/>
        </w:rPr>
      </w:pPr>
      <w:r>
        <w:rPr>
          <w:rFonts w:hint="eastAsia"/>
          <w:b/>
          <w:woUserID w:val="5"/>
        </w:rPr>
        <w:t>说明：</w:t>
      </w:r>
      <w:r>
        <w:rPr>
          <w:b/>
          <w:woUserID w:val="5"/>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一级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二级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三级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未定级</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bl>
    <w:p>
      <w:pPr>
        <w:pStyle w:val="3"/>
        <w:numPr>
          <w:ilvl w:val="0"/>
          <w:numId w:val="3"/>
        </w:numPr>
        <w:spacing w:before="0" w:after="0" w:line="360" w:lineRule="auto"/>
        <w:jc w:val="left"/>
        <w:rPr>
          <w:woUserID w:val="5"/>
        </w:rPr>
      </w:pPr>
      <w:r>
        <w:rPr>
          <w:woUserID w:val="5"/>
        </w:rPr>
        <w:t>HACT01.00.003 医院等次代码表</w:t>
      </w:r>
    </w:p>
    <w:p>
      <w:pPr>
        <w:numPr>
          <w:ilvl w:val="255"/>
          <w:numId w:val="0"/>
        </w:numPr>
        <w:jc w:val="left"/>
        <w:rPr>
          <w:b/>
          <w:woUserID w:val="5"/>
        </w:rPr>
      </w:pPr>
      <w:r>
        <w:rPr>
          <w:rFonts w:hint="eastAsia"/>
          <w:b/>
          <w:woUserID w:val="5"/>
        </w:rPr>
        <w:t>引用标准文号：</w:t>
      </w:r>
      <w:r>
        <w:rPr>
          <w:b w:val="0"/>
          <w:bCs w:val="0"/>
          <w:woUserID w:val="4"/>
        </w:rPr>
        <w:t>《全国卫生资源与医疗服务统计调查制度 》(2021年)(国卫规划函〔2021〕184号),</w:t>
      </w:r>
      <w:r>
        <w:rPr>
          <w:rFonts w:hint="eastAsia"/>
          <w:b w:val="0"/>
          <w:bCs w:val="0"/>
          <w:lang w:val="en-US" w:eastAsia="zh-CN"/>
          <w:woUserID w:val="4"/>
        </w:rPr>
        <w:t>卫健统 1-1</w:t>
      </w:r>
      <w:r>
        <w:rPr>
          <w:b w:val="0"/>
          <w:bCs w:val="0"/>
          <w:lang w:eastAsia="zh-CN"/>
          <w:woUserID w:val="4"/>
        </w:rPr>
        <w:t xml:space="preserve"> </w:t>
      </w:r>
      <w:r>
        <w:rPr>
          <w:b/>
          <w:woUserID w:val="5"/>
        </w:rPr>
        <w:t>。</w:t>
      </w:r>
    </w:p>
    <w:p>
      <w:pPr>
        <w:rPr>
          <w:woUserID w:val="5"/>
        </w:rPr>
      </w:pPr>
      <w:r>
        <w:rPr>
          <w:rFonts w:hint="eastAsia"/>
          <w:b/>
          <w:woUserID w:val="5"/>
        </w:rPr>
        <w:t>说明：</w:t>
      </w:r>
      <w:r>
        <w:rPr>
          <w:b/>
          <w:woUserID w:val="5"/>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1</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特等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2</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甲等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3</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4</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丙等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9</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未定等</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bl>
    <w:p>
      <w:pPr>
        <w:pStyle w:val="3"/>
        <w:numPr>
          <w:ilvl w:val="0"/>
          <w:numId w:val="3"/>
        </w:numPr>
        <w:spacing w:before="0" w:after="0" w:line="360" w:lineRule="auto"/>
        <w:jc w:val="left"/>
        <w:rPr>
          <w:woUserID w:val="5"/>
        </w:rPr>
      </w:pPr>
      <w:r>
        <w:rPr>
          <w:woUserID w:val="5"/>
        </w:rPr>
        <w:t>HACT01.00.004 机构所有制形式代码表</w:t>
      </w:r>
    </w:p>
    <w:p>
      <w:pPr>
        <w:numPr>
          <w:ilvl w:val="255"/>
          <w:numId w:val="0"/>
        </w:numPr>
        <w:jc w:val="left"/>
        <w:rPr>
          <w:rFonts w:hint="default"/>
          <w:b/>
          <w:woUserID w:val="5"/>
        </w:rPr>
      </w:pPr>
      <w:r>
        <w:rPr>
          <w:rFonts w:hint="eastAsia"/>
          <w:b/>
          <w:woUserID w:val="5"/>
        </w:rPr>
        <w:t>引用标准文号：</w:t>
      </w:r>
      <w:r>
        <w:rPr>
          <w:rFonts w:hint="default"/>
          <w:b w:val="0"/>
          <w:bCs w:val="0"/>
          <w:woUserID w:val="4"/>
        </w:rPr>
        <w:t>关于修订《医疗机构管理条例实施细则》部分附表的通知(卫办医发〔2008〕125号)</w:t>
      </w:r>
      <w:r>
        <w:rPr>
          <w:rFonts w:hint="default"/>
          <w:b w:val="0"/>
          <w:bCs w:val="0"/>
          <w:lang w:eastAsia="zh-CN"/>
          <w:woUserID w:val="4"/>
        </w:rPr>
        <w:t>中“附件 1.设置医疗机构申请书</w:t>
      </w:r>
      <w:r>
        <w:rPr>
          <w:rFonts w:hint="default"/>
          <w:b w:val="0"/>
          <w:bCs w:val="0"/>
          <w:lang w:eastAsia="zh-CN"/>
          <w:woUserID w:val="5"/>
        </w:rPr>
        <w:t>”</w:t>
      </w:r>
      <w:r>
        <w:rPr>
          <w:rFonts w:hint="default"/>
          <w:b w:val="0"/>
          <w:bCs w:val="0"/>
          <w:lang w:eastAsia="zh-CN"/>
          <w:woUserID w:val="4"/>
        </w:rPr>
        <w:t>相关“</w:t>
      </w:r>
      <w:r>
        <w:rPr>
          <w:rFonts w:hint="eastAsia"/>
          <w:b w:val="0"/>
          <w:bCs w:val="0"/>
          <w:lang w:val="en-US" w:eastAsia="zh-CN"/>
          <w:woUserID w:val="5"/>
        </w:rPr>
        <w:t>填写说明</w:t>
      </w:r>
      <w:r>
        <w:rPr>
          <w:rFonts w:hint="default"/>
          <w:b w:val="0"/>
          <w:bCs w:val="0"/>
          <w:lang w:eastAsia="zh-CN"/>
          <w:woUserID w:val="5"/>
        </w:rPr>
        <w:t>”</w:t>
      </w:r>
      <w:r>
        <w:rPr>
          <w:rFonts w:hint="default"/>
          <w:b w:val="0"/>
          <w:bCs w:val="0"/>
          <w:lang w:val="en-US" w:eastAsia="zh-CN"/>
          <w:woUserID w:val="5"/>
        </w:rPr>
        <w:t>。</w:t>
      </w:r>
    </w:p>
    <w:p>
      <w:pPr>
        <w:rPr>
          <w:woUserID w:val="5"/>
        </w:rPr>
      </w:pPr>
      <w:r>
        <w:rPr>
          <w:rFonts w:hint="eastAsia"/>
          <w:b/>
          <w:woUserID w:val="5"/>
        </w:rPr>
        <w:t>说明：</w:t>
      </w:r>
      <w:r>
        <w:rPr>
          <w:b/>
          <w:woUserID w:val="5"/>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A</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全民</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B</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集体</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C</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私人</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D</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中外合资（合作）</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E</w:t>
            </w:r>
          </w:p>
        </w:tc>
        <w:tc>
          <w:tcPr>
            <w:tcW w:w="2397"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r>
              <w:rPr>
                <w:rFonts w:hint="default"/>
                <w:sz w:val="21"/>
                <w:woUserID w:val="5"/>
              </w:rPr>
              <w:t>其他</w:t>
            </w:r>
          </w:p>
        </w:tc>
        <w:tc>
          <w:tcPr>
            <w:tcW w:w="6031" w:type="dxa"/>
            <w:shd w:val="clear" w:color="auto" w:fill="auto"/>
            <w:vAlign w:val="center"/>
          </w:tcPr>
          <w:p>
            <w:pPr>
              <w:keepNext w:val="0"/>
              <w:keepLines w:val="0"/>
              <w:suppressLineNumbers w:val="0"/>
              <w:spacing w:before="0" w:beforeAutospacing="0" w:after="0" w:afterAutospacing="0"/>
              <w:ind w:left="0" w:right="0"/>
              <w:jc w:val="left"/>
              <w:rPr>
                <w:rFonts w:hint="default"/>
                <w:sz w:val="21"/>
                <w:woUserID w:val="5"/>
              </w:rPr>
            </w:pPr>
          </w:p>
        </w:tc>
      </w:tr>
    </w:tbl>
    <w:p>
      <w:pPr>
        <w:pStyle w:val="3"/>
        <w:numPr>
          <w:ilvl w:val="0"/>
          <w:numId w:val="3"/>
        </w:numPr>
        <w:spacing w:before="0" w:after="0" w:line="360" w:lineRule="auto"/>
        <w:jc w:val="left"/>
        <w:rPr>
          <w:woUserID w:val="5"/>
        </w:rPr>
      </w:pPr>
      <w:r>
        <w:rPr>
          <w:woUserID w:val="5"/>
        </w:rPr>
        <w:t>HACT01.00.005 经济类型分类代码表</w:t>
      </w:r>
    </w:p>
    <w:p>
      <w:pPr>
        <w:numPr>
          <w:ilvl w:val="255"/>
          <w:numId w:val="0"/>
        </w:numPr>
        <w:jc w:val="left"/>
        <w:rPr>
          <w:rFonts w:hint="default"/>
          <w:b w:val="0"/>
          <w:bCs w:val="0"/>
          <w:woUserID w:val="4"/>
        </w:rPr>
      </w:pPr>
      <w:r>
        <w:rPr>
          <w:rFonts w:hint="eastAsia"/>
          <w:b/>
          <w:woUserID w:val="5"/>
        </w:rPr>
        <w:t>引用标准文号：</w:t>
      </w:r>
      <w:r>
        <w:rPr>
          <w:b w:val="0"/>
          <w:bCs w:val="0"/>
          <w:woUserID w:val="4"/>
        </w:rPr>
        <w:t>《全国卫生资源与医疗服务统计调查制度 》（2021年）(国卫规划函〔2021〕184号)“</w:t>
      </w:r>
      <w:r>
        <w:rPr>
          <w:rFonts w:hint="eastAsia"/>
          <w:b w:val="0"/>
          <w:bCs w:val="0"/>
          <w:lang w:val="en-US" w:eastAsia="en-US"/>
          <w:woUserID w:val="4"/>
        </w:rPr>
        <w:t>1.5.5</w:t>
      </w:r>
      <w:r>
        <w:rPr>
          <w:rFonts w:hint="default"/>
          <w:b w:val="0"/>
          <w:bCs w:val="0"/>
          <w:lang w:eastAsia="en-US"/>
          <w:woUserID w:val="4"/>
        </w:rPr>
        <w:t xml:space="preserve"> </w:t>
      </w:r>
      <w:r>
        <w:rPr>
          <w:rFonts w:hint="eastAsia"/>
          <w:b w:val="0"/>
          <w:bCs w:val="0"/>
          <w:lang w:val="en-US" w:eastAsia="en-US"/>
          <w:woUserID w:val="4"/>
        </w:rPr>
        <w:t>登记注册类型与代码</w:t>
      </w:r>
      <w:r>
        <w:rPr>
          <w:b w:val="0"/>
          <w:bCs w:val="0"/>
          <w:woUserID w:val="4"/>
        </w:rPr>
        <w:t>”。</w:t>
      </w:r>
    </w:p>
    <w:p>
      <w:pPr>
        <w:pStyle w:val="6"/>
        <w:widowControl/>
        <w:spacing w:before="2" w:beforeAutospacing="0" w:after="0" w:afterAutospacing="0" w:line="240" w:lineRule="auto"/>
        <w:ind w:left="0" w:leftChars="0" w:right="976" w:firstLine="0" w:firstLineChars="0"/>
        <w:rPr>
          <w:rFonts w:hint="default"/>
          <w:b w:val="0"/>
          <w:bCs w:val="0"/>
          <w:woUserID w:val="4"/>
        </w:rPr>
      </w:pPr>
      <w:r>
        <w:rPr>
          <w:rFonts w:hint="eastAsia" w:ascii="宋体" w:hAnsi="宋体" w:eastAsia="宋体" w:cstheme="minorBidi"/>
          <w:b/>
          <w:bCs/>
          <w:kern w:val="2"/>
          <w:sz w:val="24"/>
          <w:szCs w:val="22"/>
          <w:lang w:val="en-US" w:eastAsia="zh-CN" w:bidi="ar-SA"/>
          <w:woUserID w:val="4"/>
        </w:rPr>
        <w:t>说明：</w:t>
      </w:r>
      <w:r>
        <w:rPr>
          <w:rFonts w:hint="default" w:cstheme="minorBidi"/>
          <w:b w:val="0"/>
          <w:bCs w:val="0"/>
          <w:kern w:val="2"/>
          <w:sz w:val="24"/>
          <w:szCs w:val="22"/>
          <w:lang w:eastAsia="zh-CN" w:bidi="ar-SA"/>
          <w:woUserID w:val="4"/>
        </w:rPr>
        <w:t>（</w:t>
      </w:r>
      <w:r>
        <w:rPr>
          <w:rFonts w:hint="default" w:ascii="宋体" w:hAnsi="宋体" w:eastAsia="宋体" w:cstheme="minorBidi"/>
          <w:b w:val="0"/>
          <w:bCs w:val="0"/>
          <w:kern w:val="2"/>
          <w:sz w:val="24"/>
          <w:szCs w:val="22"/>
          <w:lang w:eastAsia="zh-CN" w:bidi="ar-SA"/>
          <w:woUserID w:val="4"/>
        </w:rPr>
        <w:t>1）</w:t>
      </w:r>
      <w:r>
        <w:rPr>
          <w:rFonts w:hint="default" w:ascii="宋体" w:hAnsi="宋体" w:eastAsia="宋体" w:cstheme="minorBidi"/>
          <w:b w:val="0"/>
          <w:bCs w:val="0"/>
          <w:kern w:val="2"/>
          <w:sz w:val="24"/>
          <w:szCs w:val="22"/>
          <w:lang w:val="en-US" w:eastAsia="zh-CN" w:bidi="ar-SA"/>
          <w:woUserID w:val="4"/>
        </w:rPr>
        <w:t>登记注册类型代码采用国家统计局制定的《企业登记注册类型与代码》，替代经济类型分类与代码GB/T</w:t>
      </w:r>
      <w:r>
        <w:rPr>
          <w:rFonts w:hint="default" w:cstheme="minorBidi"/>
          <w:b w:val="0"/>
          <w:bCs w:val="0"/>
          <w:kern w:val="2"/>
          <w:sz w:val="24"/>
          <w:szCs w:val="22"/>
          <w:lang w:eastAsia="zh-CN" w:bidi="ar-SA"/>
          <w:woUserID w:val="4"/>
        </w:rPr>
        <w:t xml:space="preserve"> </w:t>
      </w:r>
      <w:r>
        <w:rPr>
          <w:rFonts w:hint="default" w:ascii="宋体" w:hAnsi="宋体" w:eastAsia="宋体" w:cstheme="minorBidi"/>
          <w:b w:val="0"/>
          <w:bCs w:val="0"/>
          <w:kern w:val="2"/>
          <w:sz w:val="24"/>
          <w:szCs w:val="22"/>
          <w:lang w:val="en-US" w:eastAsia="zh-CN" w:bidi="ar-SA"/>
          <w:woUserID w:val="4"/>
        </w:rPr>
        <w:t>12402-2000；</w:t>
      </w:r>
      <w:r>
        <w:rPr>
          <w:rFonts w:hint="default" w:cstheme="minorBidi"/>
          <w:b w:val="0"/>
          <w:bCs w:val="0"/>
          <w:kern w:val="2"/>
          <w:sz w:val="24"/>
          <w:szCs w:val="22"/>
          <w:lang w:eastAsia="zh-CN" w:bidi="ar-SA"/>
          <w:woUserID w:val="4"/>
        </w:rPr>
        <w:t>（</w:t>
      </w:r>
      <w:r>
        <w:rPr>
          <w:rFonts w:hint="default" w:ascii="宋体" w:hAnsi="宋体" w:eastAsia="宋体" w:cstheme="minorBidi"/>
          <w:b w:val="0"/>
          <w:bCs w:val="0"/>
          <w:kern w:val="2"/>
          <w:sz w:val="24"/>
          <w:szCs w:val="22"/>
          <w:lang w:eastAsia="zh-CN" w:bidi="ar-SA"/>
          <w:woUserID w:val="4"/>
        </w:rPr>
        <w:t>2）</w:t>
      </w:r>
      <w:r>
        <w:rPr>
          <w:rFonts w:hint="eastAsia" w:ascii="宋体" w:hAnsi="宋体" w:eastAsia="宋体" w:cstheme="minorBidi"/>
          <w:b w:val="0"/>
          <w:bCs w:val="0"/>
          <w:kern w:val="2"/>
          <w:sz w:val="24"/>
          <w:szCs w:val="22"/>
          <w:lang w:val="en-US" w:eastAsia="zh-CN" w:bidi="ar-SA"/>
          <w:woUserID w:val="4"/>
        </w:rPr>
        <w:t xml:space="preserve">卫生行业仅采用前两位代码，暂不使用代码15、24、29、33、34、39。 </w:t>
      </w:r>
    </w:p>
    <w:tbl>
      <w:tblPr>
        <w:tblStyle w:val="10"/>
        <w:tblW w:w="96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05"/>
        <w:gridCol w:w="1780"/>
        <w:gridCol w:w="71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值</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值含义</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sz w:val="18"/>
                <w:szCs w:val="18"/>
                <w:u w:val="none"/>
                <w:woUserID w:val="4"/>
              </w:rPr>
            </w:pPr>
            <w:r>
              <w:rPr>
                <w:rFonts w:hint="eastAsia" w:ascii="宋体" w:hAnsi="宋体" w:eastAsia="宋体" w:cs="宋体"/>
                <w:b/>
                <w:i w:val="0"/>
                <w:color w:val="000000"/>
                <w:kern w:val="0"/>
                <w:sz w:val="18"/>
                <w:szCs w:val="18"/>
                <w:u w:val="none"/>
                <w:lang w:val="en-US" w:eastAsia="zh-CN" w:bidi="ar"/>
                <w:woUserID w:val="4"/>
              </w:rPr>
              <w:t>10</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sz w:val="18"/>
                <w:szCs w:val="18"/>
                <w:u w:val="none"/>
                <w:woUserID w:val="4"/>
              </w:rPr>
            </w:pPr>
            <w:r>
              <w:rPr>
                <w:rFonts w:hint="eastAsia" w:ascii="宋体" w:hAnsi="宋体" w:eastAsia="宋体" w:cs="宋体"/>
                <w:b/>
                <w:i w:val="0"/>
                <w:color w:val="000000"/>
                <w:kern w:val="0"/>
                <w:sz w:val="18"/>
                <w:szCs w:val="18"/>
                <w:u w:val="none"/>
                <w:lang w:val="en-US" w:eastAsia="zh-CN" w:bidi="ar"/>
                <w:woUserID w:val="4"/>
              </w:rPr>
              <w:t>内资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资金主要来源于内地的经济组织。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11</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国有全资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全部资产(资金)归国家所有，并按国家有关规定登记注册的非公司制的经济组织(不含有限责任公司中的国有独资公司和联营中的国有联营)和国家和政党机关。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12</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集体全资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全部资产归集体所有，并按国家有关规定登记注册的经济组织(不含有限责任、股份合作和联营中的集体联营)。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13</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股份合作</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以合作制为基础，由职工共同出资入股，吸收一定比例社会资产投资组建；实行自主经营, 自负盈亏,共同劳动,按劳分配与按股分红的一种集体经济组织。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14</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联营</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两个及以上相同或不同的经济类型的经济组织，按自愿、平等、互利原则共同投资组成的非公司型经济组织。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15</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有限责任公司</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根据国家有关规定登记注册，由两个以上，五十个以下股东共同出资，每个股东以其所认缴的出资额对公司承担有限责任，公司以其全部资产对其债务承担有限责任的经济组织。包括国有独资公司及其他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16</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股份有限公司</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both"/>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根据国家有关规定登记注册，其全部注册资本由等额股份构成并通过发行股票筹集资本,股东以其认购的股份对公司承担有限责任，公司以其全部资产对其债务承担责任的经济组织。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17</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私有</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由自然人投资设立或由自然人控股，以雇佣劳动为基础的赢利性经济组织。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19</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其他内资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以上未包括的内资经济类型。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sz w:val="18"/>
                <w:szCs w:val="18"/>
                <w:u w:val="none"/>
                <w:woUserID w:val="4"/>
              </w:rPr>
            </w:pPr>
            <w:r>
              <w:rPr>
                <w:rFonts w:hint="eastAsia" w:ascii="宋体" w:hAnsi="宋体" w:eastAsia="宋体" w:cs="宋体"/>
                <w:b/>
                <w:i w:val="0"/>
                <w:color w:val="000000"/>
                <w:kern w:val="0"/>
                <w:sz w:val="18"/>
                <w:szCs w:val="18"/>
                <w:u w:val="none"/>
                <w:lang w:val="en-US" w:eastAsia="zh-CN" w:bidi="ar"/>
                <w:woUserID w:val="4"/>
              </w:rPr>
              <w:t>20</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sz w:val="18"/>
                <w:szCs w:val="18"/>
                <w:u w:val="none"/>
                <w:woUserID w:val="4"/>
              </w:rPr>
            </w:pPr>
            <w:r>
              <w:rPr>
                <w:rFonts w:hint="eastAsia" w:ascii="宋体" w:hAnsi="宋体" w:eastAsia="宋体" w:cs="宋体"/>
                <w:b/>
                <w:i w:val="0"/>
                <w:color w:val="000000"/>
                <w:kern w:val="0"/>
                <w:sz w:val="18"/>
                <w:szCs w:val="18"/>
                <w:u w:val="none"/>
                <w:lang w:val="en-US" w:eastAsia="zh-CN" w:bidi="ar"/>
                <w:woUserID w:val="4"/>
              </w:rPr>
              <w:t>港澳台投资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资本(资金)部分(达国家规定比例以上)或全部来源于港澳台的经济组织。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21</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内地和港澳台合资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港澳台地区投资者与内地经济组织依照国家有关规定，按合资合同规定的比例投资设立、分配利润和分担风险的经济组织。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22</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内地和港澳台合作</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港澳台地区投资者与内地经济组织依照国家有关规定，按合作合同的约定进行投资或提供条件设立、分配利润和分担风险的经济组织。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23</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港澳台独资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依照国家有关规定，在内地由港澳台地区独资者全额投资设立的经济组织。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24</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港澳台投资股份有限公司</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根据国家有关规定，经外经贸部依法批准设立，其中港澳台投资者的股本占公司注册资本25%以上的股份有限公司。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29</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其他港澳台投资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以上未包括的港、澳、台投资经济组织。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sz w:val="18"/>
                <w:szCs w:val="18"/>
                <w:u w:val="none"/>
                <w:woUserID w:val="4"/>
              </w:rPr>
            </w:pPr>
            <w:r>
              <w:rPr>
                <w:rFonts w:hint="eastAsia" w:ascii="宋体" w:hAnsi="宋体" w:eastAsia="宋体" w:cs="宋体"/>
                <w:b/>
                <w:i w:val="0"/>
                <w:color w:val="000000"/>
                <w:kern w:val="0"/>
                <w:sz w:val="18"/>
                <w:szCs w:val="18"/>
                <w:u w:val="none"/>
                <w:lang w:val="en-US" w:eastAsia="zh-CN" w:bidi="ar"/>
                <w:woUserID w:val="4"/>
              </w:rPr>
              <w:t>30</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sz w:val="18"/>
                <w:szCs w:val="18"/>
                <w:u w:val="none"/>
                <w:woUserID w:val="4"/>
              </w:rPr>
            </w:pPr>
            <w:r>
              <w:rPr>
                <w:rFonts w:hint="eastAsia" w:ascii="宋体" w:hAnsi="宋体" w:eastAsia="宋体" w:cs="宋体"/>
                <w:b/>
                <w:i w:val="0"/>
                <w:color w:val="000000"/>
                <w:kern w:val="0"/>
                <w:sz w:val="18"/>
                <w:szCs w:val="18"/>
                <w:u w:val="none"/>
                <w:lang w:val="en-US" w:eastAsia="zh-CN" w:bidi="ar"/>
                <w:woUserID w:val="4"/>
              </w:rPr>
              <w:t>国外投资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资本（资金）部分(达到国家规定比例以上)或全部来源于国外的经济组织。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31</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中外合资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国外法人或个人与内地经济组织依照国家有关规定，按合资合同规定比例投资设立、分配利润和分担风险的经济组织。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32</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中外合作</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依照国家有关规定，按合作合同的约定进行投资或提供条件设立、分配利润和分担风险的经济组织。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33</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外资企业</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依照国家有关规定，在内地由外国投资者全额投资设立的经济组织。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34</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国外投资股份有限公司</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根据国家有关规定，经外经贸部依法批准设立，其中外资的股本占公司注册资本25% 以上的股份有限公司。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2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39</w:t>
            </w:r>
          </w:p>
        </w:tc>
        <w:tc>
          <w:tcPr>
            <w:tcW w:w="17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其他外商投资</w:t>
            </w:r>
          </w:p>
        </w:tc>
        <w:tc>
          <w:tcPr>
            <w:tcW w:w="71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sz w:val="18"/>
                <w:szCs w:val="18"/>
                <w:u w:val="none"/>
                <w:woUserID w:val="4"/>
              </w:rPr>
            </w:pPr>
            <w:r>
              <w:rPr>
                <w:rFonts w:hint="eastAsia" w:ascii="宋体" w:hAnsi="宋体" w:eastAsia="宋体" w:cs="宋体"/>
                <w:i w:val="0"/>
                <w:color w:val="000000"/>
                <w:kern w:val="0"/>
                <w:sz w:val="18"/>
                <w:szCs w:val="18"/>
                <w:u w:val="none"/>
                <w:lang w:val="en-US" w:eastAsia="zh-CN" w:bidi="ar"/>
                <w:woUserID w:val="4"/>
              </w:rPr>
              <w:t>以上未包括的国外投资的经济组织。</w:t>
            </w:r>
          </w:p>
        </w:tc>
      </w:tr>
    </w:tbl>
    <w:p>
      <w:pPr>
        <w:rPr>
          <w:rFonts w:hint="default"/>
          <w:b/>
          <w:woUserID w:val="4"/>
        </w:rPr>
      </w:pPr>
    </w:p>
    <w:p>
      <w:pPr>
        <w:pStyle w:val="3"/>
        <w:numPr>
          <w:ilvl w:val="0"/>
          <w:numId w:val="3"/>
        </w:numPr>
        <w:spacing w:before="0" w:after="0" w:line="360" w:lineRule="auto"/>
        <w:jc w:val="left"/>
        <w:rPr>
          <w:woUserID w:val="5"/>
        </w:rPr>
      </w:pPr>
      <w:r>
        <w:rPr>
          <w:woUserID w:val="5"/>
        </w:rPr>
        <w:t xml:space="preserve">HACT01.00.006 </w:t>
      </w:r>
      <w:r>
        <w:rPr>
          <w:b/>
          <w:woUserID w:val="4"/>
        </w:rPr>
        <w:t>机构分类管理代码表</w:t>
      </w:r>
    </w:p>
    <w:p>
      <w:pPr>
        <w:numPr>
          <w:ilvl w:val="255"/>
          <w:numId w:val="0"/>
        </w:numPr>
        <w:jc w:val="left"/>
        <w:rPr>
          <w:rFonts w:hint="default"/>
          <w:b/>
          <w:woUserID w:val="4"/>
        </w:rPr>
      </w:pPr>
      <w:r>
        <w:rPr>
          <w:rFonts w:hint="eastAsia"/>
          <w:b/>
          <w:woUserID w:val="5"/>
        </w:rPr>
        <w:t>引用标准文号：</w:t>
      </w:r>
      <w:r>
        <w:rPr>
          <w:rFonts w:hint="default"/>
          <w:b w:val="0"/>
          <w:bCs w:val="0"/>
          <w:woUserID w:val="4"/>
        </w:rPr>
        <w:t>WS 218-2002 卫生机构(组织)分类与代码中的“附录B 机构分类管理代码表”。</w:t>
      </w:r>
    </w:p>
    <w:p>
      <w:pPr>
        <w:rPr>
          <w:woUserID w:val="5"/>
        </w:rPr>
      </w:pPr>
      <w:r>
        <w:rPr>
          <w:rFonts w:hint="eastAsia"/>
          <w:b/>
          <w:woUserID w:val="5"/>
        </w:rPr>
        <w:t>说明：</w:t>
      </w:r>
      <w:r>
        <w:rPr>
          <w:b/>
          <w:woUserID w:val="5"/>
        </w:rPr>
        <w:t>无。</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woUserID w:val="5"/>
              </w:rPr>
              <w:t>1</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非营利性医疗机构</w:t>
            </w:r>
          </w:p>
        </w:tc>
        <w:tc>
          <w:tcPr>
            <w:tcW w:w="6031"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woUserID w:val="5"/>
              </w:rPr>
              <w:t>指《医疗机构执业许可证》注明为“非营利性”的医疗机构</w:t>
            </w:r>
          </w:p>
        </w:tc>
      </w:tr>
      <w:tr>
        <w:tblPrEx>
          <w:tblLayout w:type="fixed"/>
          <w:tblCellMar>
            <w:top w:w="0" w:type="dxa"/>
            <w:left w:w="108" w:type="dxa"/>
            <w:bottom w:w="0" w:type="dxa"/>
            <w:right w:w="108" w:type="dxa"/>
          </w:tblCellMar>
        </w:tblPrEx>
        <w:trPr>
          <w:trHeight w:val="280" w:hRule="atLeast"/>
        </w:trPr>
        <w:tc>
          <w:tcPr>
            <w:tcW w:w="120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2</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营利性医疗机构</w:t>
            </w:r>
          </w:p>
        </w:tc>
        <w:tc>
          <w:tcPr>
            <w:tcW w:w="6031"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指《医疗机构执业许可证》注明为“营利性”的医疗机构</w:t>
            </w:r>
          </w:p>
        </w:tc>
      </w:tr>
      <w:tr>
        <w:tblPrEx>
          <w:tblLayout w:type="fixed"/>
          <w:tblCellMar>
            <w:top w:w="0" w:type="dxa"/>
            <w:left w:w="108" w:type="dxa"/>
            <w:bottom w:w="0" w:type="dxa"/>
            <w:right w:w="108" w:type="dxa"/>
          </w:tblCellMar>
        </w:tblPrEx>
        <w:tc>
          <w:tcPr>
            <w:tcW w:w="120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9</w:t>
            </w:r>
          </w:p>
        </w:tc>
        <w:tc>
          <w:tcPr>
            <w:tcW w:w="2397"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其他卫生机构</w:t>
            </w:r>
          </w:p>
        </w:tc>
        <w:tc>
          <w:tcPr>
            <w:tcW w:w="6031"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r>
              <w:rPr>
                <w:rFonts w:hint="eastAsia" w:ascii="宋体" w:hAnsi="宋体" w:eastAsia="宋体" w:cs="宋体"/>
                <w:i w:val="0"/>
                <w:color w:val="000000"/>
                <w:kern w:val="0"/>
                <w:sz w:val="18"/>
                <w:szCs w:val="18"/>
                <w:u w:val="none"/>
                <w:lang w:val="en-US" w:eastAsia="zh-CN" w:bidi="ar"/>
              </w:rPr>
              <w:t>指未实行分类管理的其他各类卫生机构</w:t>
            </w:r>
          </w:p>
        </w:tc>
      </w:tr>
    </w:tbl>
    <w:p>
      <w:pPr>
        <w:pStyle w:val="3"/>
        <w:numPr>
          <w:ilvl w:val="0"/>
          <w:numId w:val="3"/>
        </w:numPr>
        <w:spacing w:before="0" w:after="0" w:line="360" w:lineRule="auto"/>
        <w:jc w:val="left"/>
        <w:rPr>
          <w:woUserID w:val="5"/>
        </w:rPr>
      </w:pPr>
      <w:r>
        <w:rPr>
          <w:woUserID w:val="5"/>
        </w:rPr>
        <w:t>HACT01.00.007 医疗</w:t>
      </w:r>
      <w:r>
        <w:rPr>
          <w:woUserID w:val="4"/>
        </w:rPr>
        <w:t>卫生机构（组织）类别代码</w:t>
      </w:r>
      <w:r>
        <w:rPr>
          <w:woUserID w:val="5"/>
        </w:rPr>
        <w:t>表</w:t>
      </w:r>
    </w:p>
    <w:p>
      <w:pPr>
        <w:numPr>
          <w:ilvl w:val="255"/>
          <w:numId w:val="0"/>
        </w:numPr>
        <w:jc w:val="left"/>
        <w:rPr>
          <w:b/>
          <w:woUserID w:val="5"/>
        </w:rPr>
      </w:pPr>
      <w:r>
        <w:rPr>
          <w:rFonts w:hint="eastAsia"/>
          <w:b/>
          <w:woUserID w:val="5"/>
        </w:rPr>
        <w:t>引用标准文号：</w:t>
      </w:r>
      <w:r>
        <w:rPr>
          <w:rFonts w:hint="default"/>
          <w:b w:val="0"/>
          <w:bCs w:val="0"/>
          <w:woUserID w:val="4"/>
        </w:rPr>
        <w:t>WS 218-2002 卫生机构(组织)分类与代码中的“附录A 卫生机构(组织)类别代码”。</w:t>
      </w:r>
    </w:p>
    <w:p>
      <w:pPr>
        <w:rPr>
          <w:b/>
          <w:woUserID w:val="5"/>
        </w:rPr>
      </w:pPr>
      <w:r>
        <w:rPr>
          <w:rFonts w:hint="eastAsia"/>
          <w:b/>
          <w:woUserID w:val="5"/>
        </w:rPr>
        <w:t>说明：</w:t>
      </w:r>
      <w:r>
        <w:rPr>
          <w:b/>
          <w:woUserID w:val="4"/>
        </w:rPr>
        <w:t>无。</w:t>
      </w:r>
      <w:r>
        <w:rPr>
          <w:b/>
          <w:woUserID w:val="5"/>
        </w:rPr>
        <w:t xml:space="preserve"> </w:t>
      </w:r>
    </w:p>
    <w:tbl>
      <w:tblPr>
        <w:tblStyle w:val="10"/>
        <w:tblW w:w="976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112"/>
        <w:gridCol w:w="1052"/>
        <w:gridCol w:w="3109"/>
        <w:gridCol w:w="3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 w:type="dxa"/>
            <w:shd w:val="clear" w:color="auto" w:fill="auto"/>
            <w:vAlign w:val="center"/>
          </w:tcPr>
          <w:p>
            <w:pPr>
              <w:keepNext w:val="0"/>
              <w:keepLines w:val="0"/>
              <w:suppressLineNumbers w:val="0"/>
              <w:spacing w:before="0" w:beforeAutospacing="0" w:after="0" w:afterAutospacing="0"/>
              <w:ind w:left="0" w:right="0"/>
              <w:jc w:val="center"/>
              <w:rPr>
                <w:rFonts w:hint="default"/>
                <w:b/>
                <w:sz w:val="21"/>
                <w:woUserID w:val="5"/>
              </w:rPr>
            </w:pPr>
            <w:r>
              <w:rPr>
                <w:rFonts w:hint="default"/>
                <w:b/>
                <w:sz w:val="21"/>
                <w:woUserID w:val="5"/>
              </w:rPr>
              <w:t>大类</w:t>
            </w:r>
          </w:p>
        </w:tc>
        <w:tc>
          <w:tcPr>
            <w:tcW w:w="1112" w:type="dxa"/>
            <w:shd w:val="clear" w:color="auto" w:fill="auto"/>
            <w:vAlign w:val="center"/>
          </w:tcPr>
          <w:p>
            <w:pPr>
              <w:keepNext w:val="0"/>
              <w:keepLines w:val="0"/>
              <w:suppressLineNumbers w:val="0"/>
              <w:spacing w:before="0" w:beforeAutospacing="0" w:after="0" w:afterAutospacing="0"/>
              <w:ind w:left="0" w:right="0"/>
              <w:jc w:val="center"/>
              <w:rPr>
                <w:rFonts w:hint="default"/>
                <w:b/>
                <w:sz w:val="21"/>
                <w:woUserID w:val="5"/>
              </w:rPr>
            </w:pPr>
            <w:r>
              <w:rPr>
                <w:rFonts w:hint="default"/>
                <w:b/>
                <w:sz w:val="21"/>
                <w:woUserID w:val="5"/>
              </w:rPr>
              <w:t>中类</w:t>
            </w:r>
          </w:p>
        </w:tc>
        <w:tc>
          <w:tcPr>
            <w:tcW w:w="1052" w:type="dxa"/>
            <w:shd w:val="clear" w:color="auto" w:fill="auto"/>
            <w:vAlign w:val="center"/>
          </w:tcPr>
          <w:p>
            <w:pPr>
              <w:keepNext w:val="0"/>
              <w:keepLines w:val="0"/>
              <w:suppressLineNumbers w:val="0"/>
              <w:spacing w:before="0" w:beforeAutospacing="0" w:after="0" w:afterAutospacing="0"/>
              <w:ind w:left="0" w:right="0"/>
              <w:jc w:val="center"/>
              <w:rPr>
                <w:rFonts w:hint="default"/>
                <w:b/>
                <w:sz w:val="21"/>
                <w:woUserID w:val="5"/>
              </w:rPr>
            </w:pPr>
            <w:r>
              <w:rPr>
                <w:rFonts w:hint="default"/>
                <w:b/>
                <w:sz w:val="21"/>
                <w:woUserID w:val="5"/>
              </w:rPr>
              <w:t>小类</w:t>
            </w:r>
          </w:p>
        </w:tc>
        <w:tc>
          <w:tcPr>
            <w:tcW w:w="3109" w:type="dxa"/>
            <w:shd w:val="clear" w:color="auto" w:fill="auto"/>
            <w:vAlign w:val="center"/>
          </w:tcPr>
          <w:p>
            <w:pPr>
              <w:keepNext w:val="0"/>
              <w:keepLines w:val="0"/>
              <w:suppressLineNumbers w:val="0"/>
              <w:spacing w:before="0" w:beforeAutospacing="0" w:after="0" w:afterAutospacing="0"/>
              <w:ind w:left="0" w:right="0"/>
              <w:jc w:val="center"/>
              <w:rPr>
                <w:rFonts w:hint="default"/>
                <w:b/>
                <w:sz w:val="21"/>
                <w:woUserID w:val="5"/>
              </w:rPr>
            </w:pPr>
            <w:r>
              <w:rPr>
                <w:rFonts w:hint="default"/>
                <w:b/>
                <w:sz w:val="21"/>
                <w:woUserID w:val="5"/>
              </w:rPr>
              <w:t>类别名称</w:t>
            </w:r>
          </w:p>
        </w:tc>
        <w:tc>
          <w:tcPr>
            <w:tcW w:w="3533"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woUserID w:val="5"/>
              </w:rPr>
              <w:t>A</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综合医院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A2</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中医(综合)医院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中医专科医院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肛肠医院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A222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骨伤医院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包括正骨医院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A223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针灸医院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A224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按摩医院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A229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其他中医专科医院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中西医结合医院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A4</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民族医院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A411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蒙医院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A412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藏医院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A413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维医院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A414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傣医院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A419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其他民族医院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A5</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专科医院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不含中医专科医院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口腔医院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包括牙科医院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A512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眼科医院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耳鼻喉科医院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包括五官科医院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肿瘤医院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心血管病医院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胸科医院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血液病医院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A518</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妇产(科)医院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包括妇婴(儿)医院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儿童医院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精神病医院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包括20张床位以上的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传染病医院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皮肤病医院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包括性病医院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结核病医院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麻风病医院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职业病医院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骨科医院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康复医院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A528</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整形外科医院 </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包括整容医院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美容医院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A539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其他专科医院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A6</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A600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疗养院 </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不包括休养所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A7</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护理院(站)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A710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护理院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A720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护理站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B</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 xml:space="preserve">社区卫生服务中心（站）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B1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B100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社区卫生服务中心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B2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B200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社区卫生服务站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C</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卫生院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C1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C100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街道卫生院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C2</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乡镇卫生院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C210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中心卫生院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C220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乡卫生院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门诊部、诊所、医务室、村卫生室</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包括卫生所(室)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D1</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综合门诊部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中医(综合)门诊部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D122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中医专科门诊部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D130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中西医结合门诊部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D140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民族医门诊部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专科门诊部</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不含中医专科门诊部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普通专科门诊部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口腔门诊部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眼科门诊部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医疗美容门诊部</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精神卫生门诊部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D159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其他专科门诊部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D2</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普通诊所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中西医结合诊所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民族医诊所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口腔诊所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医疗美容诊所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D217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精神卫生诊所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D229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其他诊所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卫生所(室)</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D4</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D400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医务室</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D5</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D500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中小学卫生保健所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D6</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D600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村卫生室</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E</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急救中心（站）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E1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E100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急救中心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strike/>
                <w:dstrike w:val="0"/>
                <w:color w:val="FF0000"/>
                <w:kern w:val="0"/>
                <w:sz w:val="18"/>
                <w:szCs w:val="18"/>
                <w:lang w:val="en-US" w:eastAsia="zh-CN" w:bidi="ar"/>
              </w:rPr>
              <w:t>E2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strike/>
                <w:dstrike w:val="0"/>
                <w:color w:val="FF0000"/>
                <w:kern w:val="0"/>
                <w:sz w:val="18"/>
                <w:szCs w:val="18"/>
                <w:lang w:val="en-US" w:eastAsia="zh-CN" w:bidi="ar"/>
              </w:rPr>
              <w:t>E200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strike/>
                <w:dstrike w:val="0"/>
                <w:color w:val="FF0000"/>
                <w:kern w:val="0"/>
                <w:sz w:val="18"/>
                <w:szCs w:val="18"/>
                <w:lang w:val="en-US" w:eastAsia="zh-CN" w:bidi="ar"/>
              </w:rPr>
              <w:t xml:space="preserve">  急救中心站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E3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E300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急救站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F</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采供血机构</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F1</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F110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血液中心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F120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中心血站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F130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基层血站、中心血库</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F2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F200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单采血浆站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G</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Style w:val="22"/>
                <w:lang w:val="en-US" w:eastAsia="zh-CN" w:bidi="ar"/>
              </w:rPr>
              <w:t>妇幼保健院(所、站)</w:t>
            </w:r>
            <w:r>
              <w:rPr>
                <w:rStyle w:val="23"/>
                <w:lang w:val="en-US" w:eastAsia="zh-CN" w:bidi="ar"/>
              </w:rPr>
              <w:t xml:space="preserve"> </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包括妇幼保健中心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G1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G100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妇幼保健院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G2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G200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妇幼保健所</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包括妇女、儿童保健所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G3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G300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妇幼保健站</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包括妇幼保健中心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G4</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G400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生殖保健中心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H</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专科疾病防治院(所、站)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H1</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专科疾病防治院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H111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传染病防治院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H112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结核病防治院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H113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职业病防治院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H119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其他专科疾病防治院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H2</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专科疾病防治所(站、中心)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口腔病防治所(站、中心)</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包括牙病防治所(站)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精神病防治所(站、中心)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皮肤病防治所(站、中心)</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包括性病防治所(站)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结核病防治所(站、中心)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麻风病防治所(站、中心)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职业病防治所(站、中心)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寄生虫病防治所(站、中心)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H218</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地方病防治所(站、中心)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血吸虫病防治所(站、中心)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药物戒毒所(中心)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H229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其他专科疾病防治所(站、中心)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J</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疾病预防控制中心(防疫站)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J1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J100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疾病预防控制中心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strike w:val="0"/>
                <w:dstrike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strike w:val="0"/>
                <w:dstrike w:val="0"/>
                <w:color w:val="000000"/>
                <w:kern w:val="0"/>
                <w:sz w:val="18"/>
                <w:szCs w:val="18"/>
                <w:u w:val="none"/>
                <w:lang w:val="en-US" w:eastAsia="zh-CN" w:bidi="ar"/>
                <w:woUserID w:val="5"/>
              </w:rPr>
            </w:pPr>
            <w:r>
              <w:rPr>
                <w:rFonts w:hint="eastAsia" w:ascii="宋体" w:hAnsi="宋体" w:eastAsia="宋体" w:cs="宋体"/>
                <w:i w:val="0"/>
                <w:strike w:val="0"/>
                <w:dstrike w:val="0"/>
                <w:color w:val="FF0000"/>
                <w:kern w:val="0"/>
                <w:sz w:val="18"/>
                <w:szCs w:val="18"/>
                <w:lang w:val="en-US" w:eastAsia="zh-CN" w:bidi="ar"/>
              </w:rPr>
              <w:t>J2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J200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 xml:space="preserve">   卫生防疫站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strike w:val="0"/>
                <w:dstrike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strike w:val="0"/>
                <w:dstrike w:val="0"/>
                <w:color w:val="000000"/>
                <w:kern w:val="0"/>
                <w:sz w:val="18"/>
                <w:szCs w:val="18"/>
                <w:u w:val="none"/>
                <w:lang w:val="en-US" w:eastAsia="zh-CN" w:bidi="ar"/>
                <w:woUserID w:val="5"/>
              </w:rPr>
            </w:pPr>
            <w:r>
              <w:rPr>
                <w:rFonts w:hint="eastAsia" w:ascii="宋体" w:hAnsi="宋体" w:eastAsia="宋体" w:cs="宋体"/>
                <w:i w:val="0"/>
                <w:strike w:val="0"/>
                <w:dstrike w:val="0"/>
                <w:color w:val="FF0000"/>
                <w:kern w:val="0"/>
                <w:sz w:val="18"/>
                <w:szCs w:val="18"/>
                <w:lang w:val="en-US" w:eastAsia="zh-CN" w:bidi="ar"/>
              </w:rPr>
              <w:t>J3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J300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 xml:space="preserve">   卫生防病中心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J4</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J400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预防保健中心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K</w:t>
            </w: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K1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K100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卫生监督所(局)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卫生监督检验(监测、检测)所(站)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L100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卫生(综合)监督检验(监、检测)所(站)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L200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环境卫生监督检验(监测、检测)所(站)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L300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放射卫生监督检验(监测、检测)所(站)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L4</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L400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劳动(职业)卫监检验(监、检测)所(站)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strike w:val="0"/>
                <w:dstrike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strike w:val="0"/>
                <w:dstrike w:val="0"/>
                <w:color w:val="000000"/>
                <w:kern w:val="0"/>
                <w:sz w:val="18"/>
                <w:szCs w:val="18"/>
                <w:u w:val="none"/>
                <w:lang w:val="en-US" w:eastAsia="zh-CN" w:bidi="ar"/>
                <w:woUserID w:val="5"/>
              </w:rPr>
            </w:pPr>
            <w:r>
              <w:rPr>
                <w:rFonts w:hint="eastAsia" w:ascii="宋体" w:hAnsi="宋体" w:eastAsia="宋体" w:cs="宋体"/>
                <w:i w:val="0"/>
                <w:strike w:val="0"/>
                <w:dstrike w:val="0"/>
                <w:color w:val="FF0000"/>
                <w:kern w:val="0"/>
                <w:sz w:val="18"/>
                <w:szCs w:val="18"/>
                <w:lang w:val="en-US" w:eastAsia="zh-CN" w:bidi="ar"/>
              </w:rPr>
              <w:t>L5</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L500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 xml:space="preserve">  食品卫生监督检验(监测、检测)所(站)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L6</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L600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学校卫生监督检验(监测、检测)所(站)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L9</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L900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其他卫生监督检验(监测、检测)所(站)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医学科学研究机构</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医学科学(研究)院（所）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预防医学研究院（所）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中医(药)研究院(所)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M4</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M400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中西医结合研究所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M5</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M500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民族医(药)学研究所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M6</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医学专科研究所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基础医学研究所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病毒学研究所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老年医学研究所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肿瘤(防治)研究所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心血管病研究所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血液学研究所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整形外科研究所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M618</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精神卫生研究所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放射医学研究所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医学生物学研究所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生物医学工程研究所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实验动物研究所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结核病防治研究所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皮肤病与性病防治研究所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寄生虫病防治研究所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地方病防治研究所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血吸虫病防治研究所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M628</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流行病学研究所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医学微生物学研究所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M630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环境卫生研究所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M631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劳动卫生(职业病)研究所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M632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营养与食品卫生研究所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M633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儿少卫生研究所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M634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医学信息研究所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M649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其他医学专科研究所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M7</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M700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药学研究所</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包括药用植物研究所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N</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医学教育机构</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N1</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医学普通高中等学校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医学普通高等学校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不含综合大学医学部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中医(药)学院</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包括中医药大学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民族医(药)学院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其他医学普通高等学校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医学普通中等专业学校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N122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中医(药)学校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N123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民族医(药)学校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N124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护士学校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N129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其他医学普通中等专业学校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N2</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医学成人学校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医学成人高等学校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职工医学院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卫生管理干部学院</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其他医学成人高等学校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医学成人中等学校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卫生职业(工)中等专业学校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N222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中医(药)职业中等专业学校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N223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卫生进修学校</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N229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其他医学成人中等学校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N3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N300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医学在职培训机构</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含各类卫生培训中心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O</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 xml:space="preserve">健康教育所(站、中心) </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O1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O100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健康教育所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O2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O200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健康教育站(中心) </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包括卫生宣教馆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P</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其他卫生机构</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P1</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临床检验中心（所、站）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P110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临床检验中心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P120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临床检验所（站）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P2</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卫生新闻出版社</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P210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卫生图书出版社</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P220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卫生报纸出版社</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P230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卫生杂志社</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P290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其他卫生新闻出版社</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指卫生音像出版社等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P9</w:t>
            </w: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其他卫生事业机构</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精神病收容所</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麻风村</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P913</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卫生消毒站</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包括消杀灭站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P914</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乡防保组</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strike w:val="0"/>
                <w:dstrike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P915</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trike w:val="0"/>
                <w:dstrike w:val="0"/>
                <w:sz w:val="21"/>
                <w:woUserID w:val="5"/>
              </w:rPr>
            </w:pPr>
            <w:r>
              <w:rPr>
                <w:rFonts w:hint="eastAsia" w:ascii="宋体" w:hAnsi="宋体" w:eastAsia="宋体" w:cs="宋体"/>
                <w:i w:val="0"/>
                <w:strike w:val="0"/>
                <w:dstrike w:val="0"/>
                <w:color w:val="FF0000"/>
                <w:kern w:val="0"/>
                <w:sz w:val="18"/>
                <w:szCs w:val="18"/>
                <w:lang w:val="en-US" w:eastAsia="zh-CN" w:bidi="ar"/>
              </w:rPr>
              <w:t xml:space="preserve">    农村改水中心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P916</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计划生育技术服务中心(站)</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P917</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卫生机关服务中心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P918</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卫生统计信息中心</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含卫生信息管理中心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P919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医学考试中心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P920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卫生人才交流中心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P921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医学科技交流中心</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P939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Q</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0D0D0D"/>
                <w:kern w:val="0"/>
                <w:sz w:val="18"/>
                <w:szCs w:val="18"/>
                <w:u w:val="none"/>
                <w:lang w:val="en-US" w:eastAsia="zh-CN" w:bidi="ar"/>
              </w:rPr>
              <w:t>卫生社会团体</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Q1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红十字会</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Q2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医学会</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含各类卫生专业学会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Q3</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Q300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卫生协会</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Q311</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输血协会</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Q312</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医师协会</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Q339</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其他卫生协会</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Q9</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Q900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其他卫生社会团体</w:t>
            </w:r>
          </w:p>
        </w:tc>
        <w:tc>
          <w:tcPr>
            <w:tcW w:w="3533"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FF0000"/>
                <w:kern w:val="0"/>
                <w:sz w:val="18"/>
                <w:szCs w:val="18"/>
                <w:u w:val="none"/>
                <w:lang w:val="en-US" w:eastAsia="zh-CN" w:bidi="ar"/>
              </w:rPr>
              <w:t>R</w:t>
            </w:r>
          </w:p>
        </w:tc>
        <w:tc>
          <w:tcPr>
            <w:tcW w:w="111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052" w:type="dxa"/>
            <w:shd w:val="clear" w:color="auto" w:fill="auto"/>
            <w:vAlign w:val="top"/>
          </w:tcPr>
          <w:p>
            <w:pPr>
              <w:keepNext w:val="0"/>
              <w:keepLines w:val="0"/>
              <w:suppressLineNumbers w:val="0"/>
              <w:spacing w:before="0" w:beforeAutospacing="0" w:after="0" w:afterAutospacing="0"/>
              <w:ind w:left="0" w:right="0"/>
              <w:jc w:val="left"/>
              <w:rPr>
                <w:rFonts w:hint="default"/>
                <w:sz w:val="21"/>
                <w:woUserID w:val="5"/>
              </w:rPr>
            </w:pP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b/>
                <w:i w:val="0"/>
                <w:color w:val="FF0000"/>
                <w:kern w:val="0"/>
                <w:sz w:val="18"/>
                <w:szCs w:val="18"/>
                <w:u w:val="none"/>
                <w:lang w:val="en-US" w:eastAsia="zh-CN" w:bidi="ar"/>
              </w:rPr>
              <w:t>卫健委和管委会</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河南增加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b/>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b/>
                <w:i w:val="0"/>
                <w:color w:val="000000"/>
                <w:kern w:val="0"/>
                <w:sz w:val="18"/>
                <w:szCs w:val="18"/>
                <w:u w:val="none"/>
                <w:lang w:val="en-US" w:eastAsia="zh-CN" w:bidi="ar"/>
                <w:woUserID w:val="5"/>
              </w:rPr>
            </w:pPr>
            <w:r>
              <w:rPr>
                <w:rFonts w:hint="eastAsia" w:ascii="宋体" w:hAnsi="宋体" w:eastAsia="宋体" w:cs="宋体"/>
                <w:i w:val="0"/>
                <w:color w:val="FF0000"/>
                <w:kern w:val="0"/>
                <w:sz w:val="18"/>
                <w:szCs w:val="18"/>
                <w:u w:val="none"/>
                <w:lang w:val="en-US" w:eastAsia="zh-CN" w:bidi="ar"/>
              </w:rPr>
              <w:t>R1</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R100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卫健委</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河南增加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62" w:type="dxa"/>
            <w:shd w:val="clear" w:color="auto" w:fill="auto"/>
            <w:vAlign w:val="top"/>
          </w:tcPr>
          <w:p>
            <w:pPr>
              <w:keepNext w:val="0"/>
              <w:keepLines w:val="0"/>
              <w:suppressLineNumbers w:val="0"/>
              <w:spacing w:before="0" w:beforeAutospacing="0" w:after="0" w:afterAutospacing="0"/>
              <w:ind w:left="0" w:right="0"/>
              <w:jc w:val="left"/>
              <w:rPr>
                <w:rFonts w:hint="eastAsia" w:ascii="宋体" w:hAnsi="宋体" w:eastAsia="宋体" w:cs="宋体"/>
                <w:i w:val="0"/>
                <w:color w:val="000000"/>
                <w:kern w:val="0"/>
                <w:sz w:val="18"/>
                <w:szCs w:val="18"/>
                <w:u w:val="none"/>
                <w:lang w:val="en-US" w:eastAsia="zh-CN" w:bidi="ar"/>
                <w:woUserID w:val="5"/>
              </w:rPr>
            </w:pPr>
          </w:p>
        </w:tc>
        <w:tc>
          <w:tcPr>
            <w:tcW w:w="111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FF0000"/>
                <w:kern w:val="0"/>
                <w:sz w:val="18"/>
                <w:szCs w:val="18"/>
                <w:u w:val="none"/>
                <w:lang w:val="en-US" w:eastAsia="zh-CN" w:bidi="ar"/>
              </w:rPr>
              <w:t>R2</w:t>
            </w:r>
          </w:p>
        </w:tc>
        <w:tc>
          <w:tcPr>
            <w:tcW w:w="1052"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R200</w:t>
            </w:r>
          </w:p>
        </w:tc>
        <w:tc>
          <w:tcPr>
            <w:tcW w:w="3109"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管委会</w:t>
            </w:r>
          </w:p>
        </w:tc>
        <w:tc>
          <w:tcPr>
            <w:tcW w:w="3533" w:type="dxa"/>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default"/>
                <w:sz w:val="21"/>
                <w:woUserID w:val="5"/>
              </w:rPr>
            </w:pPr>
            <w:r>
              <w:rPr>
                <w:rFonts w:hint="eastAsia" w:ascii="宋体" w:hAnsi="宋体" w:eastAsia="宋体" w:cs="宋体"/>
                <w:i w:val="0"/>
                <w:color w:val="FF0000"/>
                <w:kern w:val="0"/>
                <w:sz w:val="18"/>
                <w:szCs w:val="18"/>
                <w:u w:val="none"/>
                <w:lang w:val="en-US" w:eastAsia="zh-CN" w:bidi="ar"/>
              </w:rPr>
              <w:t>河南增加</w:t>
            </w:r>
          </w:p>
        </w:tc>
      </w:tr>
    </w:tbl>
    <w:p>
      <w:pPr>
        <w:pStyle w:val="3"/>
        <w:numPr>
          <w:ilvl w:val="0"/>
          <w:numId w:val="3"/>
        </w:numPr>
        <w:spacing w:before="0" w:after="0" w:line="360" w:lineRule="auto"/>
        <w:jc w:val="left"/>
        <w:rPr>
          <w:woUserID w:val="5"/>
        </w:rPr>
      </w:pPr>
      <w:r>
        <w:rPr>
          <w:woUserID w:val="5"/>
        </w:rPr>
        <w:t>HACT01.00.008 政府办医疗卫生机构隶属关系代码表</w:t>
      </w:r>
    </w:p>
    <w:p>
      <w:pPr>
        <w:numPr>
          <w:ilvl w:val="255"/>
          <w:numId w:val="0"/>
        </w:numPr>
        <w:jc w:val="left"/>
        <w:rPr>
          <w:b/>
          <w:woUserID w:val="5"/>
        </w:rPr>
      </w:pPr>
      <w:r>
        <w:rPr>
          <w:rFonts w:hint="eastAsia"/>
          <w:b/>
          <w:woUserID w:val="5"/>
        </w:rPr>
        <w:t>引用标准文号：</w:t>
      </w:r>
      <w:r>
        <w:rPr>
          <w:b w:val="0"/>
          <w:bCs w:val="0"/>
          <w:woUserID w:val="5"/>
        </w:rPr>
        <w:t>《全国卫生资源与医疗服务统计调查制度 》</w:t>
      </w:r>
      <w:r>
        <w:rPr>
          <w:b w:val="0"/>
          <w:bCs w:val="0"/>
          <w:woUserID w:val="4"/>
        </w:rPr>
        <w:t>（</w:t>
      </w:r>
      <w:r>
        <w:rPr>
          <w:b w:val="0"/>
          <w:bCs w:val="0"/>
          <w:woUserID w:val="5"/>
        </w:rPr>
        <w:t>2021年</w:t>
      </w:r>
      <w:r>
        <w:rPr>
          <w:b w:val="0"/>
          <w:bCs w:val="0"/>
          <w:woUserID w:val="4"/>
        </w:rPr>
        <w:t>）</w:t>
      </w:r>
      <w:r>
        <w:rPr>
          <w:b w:val="0"/>
          <w:bCs w:val="0"/>
          <w:woUserID w:val="5"/>
        </w:rPr>
        <w:t>(国卫规划函〔2021〕184号)</w:t>
      </w:r>
      <w:r>
        <w:rPr>
          <w:b w:val="0"/>
          <w:bCs w:val="0"/>
          <w:woUserID w:val="4"/>
        </w:rPr>
        <w:t>“1.5.20政府办医疗卫生机构隶属关系代码”</w:t>
      </w:r>
      <w:r>
        <w:rPr>
          <w:b w:val="0"/>
          <w:bCs w:val="0"/>
          <w:woUserID w:val="5"/>
        </w:rPr>
        <w:t>。</w:t>
      </w:r>
    </w:p>
    <w:p>
      <w:pPr>
        <w:rPr>
          <w:woUserID w:val="5"/>
        </w:rPr>
      </w:pPr>
      <w:r>
        <w:rPr>
          <w:rFonts w:hint="eastAsia"/>
          <w:b/>
          <w:woUserID w:val="5"/>
        </w:rPr>
        <w:t>说明：</w:t>
      </w:r>
      <w:r>
        <w:rPr>
          <w:b w:val="0"/>
          <w:bCs w:val="0"/>
          <w:woUserID w:val="5"/>
        </w:rPr>
        <w:t>由县卫生健康委主管的乡镇卫生院编码为“5“，由县级市或区卫生健康委主管的乡镇卫生院按“4“编码。</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2397"/>
        <w:gridCol w:w="6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39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031"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top"/>
          </w:tcPr>
          <w:p>
            <w:pPr>
              <w:pStyle w:val="9"/>
              <w:keepNext w:val="0"/>
              <w:keepLines w:val="0"/>
              <w:widowControl w:val="0"/>
              <w:suppressLineNumbers w:val="0"/>
              <w:autoSpaceDE w:val="0"/>
              <w:autoSpaceDN w:val="0"/>
              <w:spacing w:before="140" w:beforeAutospacing="0" w:after="0" w:afterAutospacing="0"/>
              <w:ind w:left="0" w:leftChars="0" w:right="1" w:rightChars="0"/>
              <w:jc w:val="center"/>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1</w:t>
            </w:r>
          </w:p>
        </w:tc>
        <w:tc>
          <w:tcPr>
            <w:tcW w:w="2397" w:type="dxa"/>
            <w:shd w:val="clear" w:color="auto" w:fill="auto"/>
            <w:vAlign w:val="top"/>
          </w:tcPr>
          <w:p>
            <w:pPr>
              <w:pStyle w:val="9"/>
              <w:keepNext w:val="0"/>
              <w:keepLines w:val="0"/>
              <w:widowControl w:val="0"/>
              <w:suppressLineNumbers w:val="0"/>
              <w:autoSpaceDE w:val="0"/>
              <w:autoSpaceDN w:val="0"/>
              <w:spacing w:before="140" w:beforeAutospacing="0" w:after="0" w:afterAutospacing="0"/>
              <w:ind w:left="108" w:leftChars="0" w:right="0" w:rightChars="0"/>
              <w:jc w:val="left"/>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中央属</w:t>
            </w:r>
          </w:p>
        </w:tc>
        <w:tc>
          <w:tcPr>
            <w:tcW w:w="6031" w:type="dxa"/>
            <w:shd w:val="clear" w:color="auto" w:fill="auto"/>
            <w:vAlign w:val="top"/>
          </w:tcPr>
          <w:p>
            <w:pPr>
              <w:pStyle w:val="9"/>
              <w:keepNext w:val="0"/>
              <w:keepLines w:val="0"/>
              <w:widowControl w:val="0"/>
              <w:suppressLineNumbers w:val="0"/>
              <w:autoSpaceDE w:val="0"/>
              <w:autoSpaceDN w:val="0"/>
              <w:spacing w:before="140" w:beforeAutospacing="0" w:after="0" w:afterAutospacing="0"/>
              <w:ind w:left="108" w:leftChars="0" w:right="0" w:rightChars="0"/>
              <w:jc w:val="left"/>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即部属（部管）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1200"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2" w:leftChars="0" w:right="0" w:rightChars="0"/>
              <w:jc w:val="center"/>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2</w:t>
            </w:r>
          </w:p>
        </w:tc>
        <w:tc>
          <w:tcPr>
            <w:tcW w:w="2397"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08" w:leftChars="0" w:right="0" w:rightChars="0"/>
              <w:jc w:val="left"/>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省、自治区、直辖市属</w:t>
            </w:r>
          </w:p>
        </w:tc>
        <w:tc>
          <w:tcPr>
            <w:tcW w:w="6031" w:type="dxa"/>
            <w:shd w:val="clear" w:color="auto" w:fill="auto"/>
            <w:vAlign w:val="top"/>
          </w:tcPr>
          <w:p>
            <w:pPr>
              <w:pStyle w:val="9"/>
              <w:keepNext w:val="0"/>
              <w:keepLines w:val="0"/>
              <w:widowControl w:val="0"/>
              <w:suppressLineNumbers w:val="0"/>
              <w:autoSpaceDE w:val="0"/>
              <w:autoSpaceDN w:val="0"/>
              <w:spacing w:before="0" w:beforeAutospacing="0" w:after="0" w:afterAutospacing="0"/>
              <w:ind w:left="0" w:leftChars="0" w:right="0" w:rightChars="0"/>
              <w:jc w:val="left"/>
              <w:rPr>
                <w:rFonts w:hint="default" w:ascii="宋体" w:hAnsi="宋体" w:eastAsia="宋体" w:cs="宋体"/>
                <w:i w:val="0"/>
                <w:color w:val="0D0D0D"/>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top"/>
          </w:tcPr>
          <w:p>
            <w:pPr>
              <w:pStyle w:val="9"/>
              <w:keepNext w:val="0"/>
              <w:keepLines w:val="0"/>
              <w:widowControl w:val="0"/>
              <w:suppressLineNumbers w:val="0"/>
              <w:autoSpaceDE w:val="0"/>
              <w:autoSpaceDN w:val="0"/>
              <w:spacing w:before="52" w:beforeAutospacing="0" w:after="0" w:afterAutospacing="0"/>
              <w:ind w:left="0" w:leftChars="0" w:right="52" w:rightChars="0"/>
              <w:jc w:val="center"/>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3</w:t>
            </w:r>
          </w:p>
        </w:tc>
        <w:tc>
          <w:tcPr>
            <w:tcW w:w="2397" w:type="dxa"/>
            <w:shd w:val="clear" w:color="auto" w:fill="auto"/>
            <w:vAlign w:val="top"/>
          </w:tcPr>
          <w:p>
            <w:pPr>
              <w:pStyle w:val="9"/>
              <w:keepNext w:val="0"/>
              <w:keepLines w:val="0"/>
              <w:widowControl w:val="0"/>
              <w:suppressLineNumbers w:val="0"/>
              <w:autoSpaceDE w:val="0"/>
              <w:autoSpaceDN w:val="0"/>
              <w:spacing w:before="52" w:beforeAutospacing="0" w:after="0" w:afterAutospacing="0"/>
              <w:ind w:left="108" w:leftChars="0" w:right="0" w:rightChars="0"/>
              <w:jc w:val="left"/>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省辖市(地区、州、盟、直辖市区)属</w:t>
            </w:r>
          </w:p>
        </w:tc>
        <w:tc>
          <w:tcPr>
            <w:tcW w:w="6031" w:type="dxa"/>
            <w:shd w:val="clear" w:color="auto" w:fill="auto"/>
            <w:vAlign w:val="top"/>
          </w:tcPr>
          <w:p>
            <w:pPr>
              <w:pStyle w:val="9"/>
              <w:keepNext w:val="0"/>
              <w:keepLines w:val="0"/>
              <w:widowControl w:val="0"/>
              <w:suppressLineNumbers w:val="0"/>
              <w:autoSpaceDE w:val="0"/>
              <w:autoSpaceDN w:val="0"/>
              <w:spacing w:before="52" w:beforeAutospacing="0" w:after="0" w:afterAutospacing="0"/>
              <w:ind w:left="108" w:leftChars="0" w:right="0" w:rightChars="0"/>
              <w:jc w:val="left"/>
              <w:rPr>
                <w:rFonts w:hint="default"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省辖市即地级市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top"/>
          </w:tcPr>
          <w:p>
            <w:pPr>
              <w:pStyle w:val="9"/>
              <w:keepNext w:val="0"/>
              <w:keepLines w:val="0"/>
              <w:widowControl w:val="0"/>
              <w:suppressLineNumbers w:val="0"/>
              <w:autoSpaceDE w:val="0"/>
              <w:autoSpaceDN w:val="0"/>
              <w:spacing w:before="76" w:beforeAutospacing="0" w:after="0" w:afterAutospacing="0"/>
              <w:ind w:left="12" w:leftChars="0" w:right="0" w:rightChars="0"/>
              <w:jc w:val="center"/>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4</w:t>
            </w:r>
          </w:p>
        </w:tc>
        <w:tc>
          <w:tcPr>
            <w:tcW w:w="2397" w:type="dxa"/>
            <w:shd w:val="clear" w:color="auto" w:fill="auto"/>
            <w:vAlign w:val="top"/>
          </w:tcPr>
          <w:p>
            <w:pPr>
              <w:pStyle w:val="9"/>
              <w:keepNext w:val="0"/>
              <w:keepLines w:val="0"/>
              <w:widowControl w:val="0"/>
              <w:suppressLineNumbers w:val="0"/>
              <w:autoSpaceDE w:val="0"/>
              <w:autoSpaceDN w:val="0"/>
              <w:spacing w:before="76"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县级市(省辖市区)属</w:t>
            </w:r>
          </w:p>
        </w:tc>
        <w:tc>
          <w:tcPr>
            <w:tcW w:w="6031" w:type="dxa"/>
            <w:shd w:val="clear" w:color="auto" w:fill="auto"/>
            <w:vAlign w:val="top"/>
          </w:tcPr>
          <w:p>
            <w:pPr>
              <w:pStyle w:val="9"/>
              <w:keepNext w:val="0"/>
              <w:keepLines w:val="0"/>
              <w:widowControl w:val="0"/>
              <w:suppressLineNumbers w:val="0"/>
              <w:autoSpaceDE w:val="0"/>
              <w:autoSpaceDN w:val="0"/>
              <w:spacing w:before="76"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包括地(州、盟)辖市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2" w:leftChars="0" w:right="0" w:rightChars="0"/>
              <w:jc w:val="center"/>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5</w:t>
            </w:r>
          </w:p>
        </w:tc>
        <w:tc>
          <w:tcPr>
            <w:tcW w:w="2397"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县(旗)属</w:t>
            </w:r>
          </w:p>
        </w:tc>
        <w:tc>
          <w:tcPr>
            <w:tcW w:w="6031"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包括自治县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2" w:leftChars="0" w:right="0" w:rightChars="0"/>
              <w:jc w:val="center"/>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6</w:t>
            </w:r>
          </w:p>
        </w:tc>
        <w:tc>
          <w:tcPr>
            <w:tcW w:w="2397"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街道属</w:t>
            </w:r>
          </w:p>
        </w:tc>
        <w:tc>
          <w:tcPr>
            <w:tcW w:w="6031" w:type="dxa"/>
            <w:shd w:val="clear" w:color="auto" w:fill="auto"/>
            <w:vAlign w:val="top"/>
          </w:tcPr>
          <w:p>
            <w:pPr>
              <w:pStyle w:val="9"/>
              <w:keepNext w:val="0"/>
              <w:keepLines w:val="0"/>
              <w:widowControl w:val="0"/>
              <w:suppressLineNumbers w:val="0"/>
              <w:autoSpaceDE w:val="0"/>
              <w:autoSpaceDN w:val="0"/>
              <w:spacing w:before="0" w:beforeAutospacing="0" w:after="0" w:afterAutospacing="0"/>
              <w:ind w:left="0" w:leftChars="0" w:right="0" w:rightChars="0"/>
              <w:jc w:val="left"/>
              <w:rPr>
                <w:rFonts w:hint="eastAsia" w:ascii="宋体" w:hAnsi="宋体" w:eastAsia="宋体" w:cs="宋体"/>
                <w:i w:val="0"/>
                <w:color w:val="0D0D0D"/>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2" w:leftChars="0" w:right="0" w:rightChars="0"/>
              <w:jc w:val="center"/>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7</w:t>
            </w:r>
          </w:p>
        </w:tc>
        <w:tc>
          <w:tcPr>
            <w:tcW w:w="2397"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镇属</w:t>
            </w:r>
          </w:p>
        </w:tc>
        <w:tc>
          <w:tcPr>
            <w:tcW w:w="6031" w:type="dxa"/>
            <w:shd w:val="clear" w:color="auto" w:fill="auto"/>
            <w:vAlign w:val="top"/>
          </w:tcPr>
          <w:p>
            <w:pPr>
              <w:pStyle w:val="9"/>
              <w:keepNext w:val="0"/>
              <w:keepLines w:val="0"/>
              <w:widowControl w:val="0"/>
              <w:suppressLineNumbers w:val="0"/>
              <w:autoSpaceDE w:val="0"/>
              <w:autoSpaceDN w:val="0"/>
              <w:spacing w:before="0" w:beforeAutospacing="0" w:after="0" w:afterAutospacing="0"/>
              <w:ind w:left="0" w:leftChars="0" w:right="0" w:rightChars="0"/>
              <w:jc w:val="left"/>
              <w:rPr>
                <w:rFonts w:hint="eastAsia" w:ascii="宋体" w:hAnsi="宋体" w:eastAsia="宋体" w:cs="宋体"/>
                <w:i w:val="0"/>
                <w:color w:val="0D0D0D"/>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00"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2" w:leftChars="0" w:right="0" w:rightChars="0"/>
              <w:jc w:val="center"/>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8</w:t>
            </w:r>
          </w:p>
        </w:tc>
        <w:tc>
          <w:tcPr>
            <w:tcW w:w="2397"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eastAsia" w:ascii="宋体" w:hAnsi="宋体" w:eastAsia="宋体" w:cs="宋体"/>
                <w:i w:val="0"/>
                <w:color w:val="0D0D0D"/>
                <w:kern w:val="0"/>
                <w:sz w:val="18"/>
                <w:szCs w:val="18"/>
                <w:u w:val="none"/>
                <w:lang w:val="en-US" w:eastAsia="zh-CN" w:bidi="ar"/>
              </w:rPr>
            </w:pPr>
            <w:r>
              <w:rPr>
                <w:rFonts w:hint="eastAsia" w:ascii="宋体" w:hAnsi="宋体" w:eastAsia="宋体" w:cs="宋体"/>
                <w:i w:val="0"/>
                <w:color w:val="0D0D0D"/>
                <w:kern w:val="0"/>
                <w:sz w:val="18"/>
                <w:szCs w:val="18"/>
                <w:u w:val="none"/>
                <w:lang w:val="en-US" w:eastAsia="zh-CN" w:bidi="ar"/>
              </w:rPr>
              <w:t>乡属</w:t>
            </w:r>
          </w:p>
        </w:tc>
        <w:tc>
          <w:tcPr>
            <w:tcW w:w="6031" w:type="dxa"/>
            <w:shd w:val="clear" w:color="auto" w:fill="auto"/>
            <w:vAlign w:val="top"/>
          </w:tcPr>
          <w:p>
            <w:pPr>
              <w:pStyle w:val="9"/>
              <w:keepNext w:val="0"/>
              <w:keepLines w:val="0"/>
              <w:widowControl w:val="0"/>
              <w:suppressLineNumbers w:val="0"/>
              <w:autoSpaceDE w:val="0"/>
              <w:autoSpaceDN w:val="0"/>
              <w:spacing w:before="0" w:beforeAutospacing="0" w:after="0" w:afterAutospacing="0"/>
              <w:ind w:left="0" w:leftChars="0" w:right="0" w:rightChars="0"/>
              <w:jc w:val="left"/>
              <w:rPr>
                <w:rFonts w:hint="eastAsia" w:ascii="宋体" w:hAnsi="宋体" w:eastAsia="宋体" w:cs="宋体"/>
                <w:i w:val="0"/>
                <w:color w:val="0D0D0D"/>
                <w:kern w:val="0"/>
                <w:sz w:val="18"/>
                <w:szCs w:val="18"/>
                <w:u w:val="none"/>
                <w:lang w:val="en-US" w:eastAsia="zh-CN" w:bidi="ar"/>
              </w:rPr>
            </w:pPr>
          </w:p>
        </w:tc>
      </w:tr>
    </w:tbl>
    <w:p>
      <w:pPr>
        <w:pStyle w:val="3"/>
        <w:numPr>
          <w:ilvl w:val="0"/>
          <w:numId w:val="3"/>
        </w:numPr>
        <w:spacing w:before="0" w:after="0" w:line="360" w:lineRule="auto"/>
        <w:jc w:val="left"/>
        <w:rPr>
          <w:woUserID w:val="5"/>
        </w:rPr>
      </w:pPr>
      <w:r>
        <w:rPr>
          <w:woUserID w:val="5"/>
        </w:rPr>
        <w:t>HACT01.00.009 所属条线代码表</w:t>
      </w:r>
    </w:p>
    <w:p>
      <w:pPr>
        <w:numPr>
          <w:ilvl w:val="255"/>
          <w:numId w:val="0"/>
        </w:numPr>
        <w:jc w:val="left"/>
        <w:rPr>
          <w:b/>
          <w:woUserID w:val="5"/>
        </w:rPr>
      </w:pPr>
      <w:r>
        <w:rPr>
          <w:rFonts w:hint="eastAsia"/>
          <w:b/>
          <w:woUserID w:val="5"/>
        </w:rPr>
        <w:t>引用标准文号：</w:t>
      </w:r>
    </w:p>
    <w:p>
      <w:pPr>
        <w:rPr>
          <w:woUserID w:val="5"/>
        </w:rPr>
      </w:pPr>
      <w:r>
        <w:rPr>
          <w:rFonts w:hint="eastAsia"/>
          <w:b/>
          <w:woUserID w:val="5"/>
        </w:rPr>
        <w:t>说明：</w:t>
      </w:r>
      <w:r>
        <w:rPr>
          <w:b/>
          <w:woUserID w:val="5"/>
        </w:rPr>
        <w:t>此代码主要用于条线统计分析控制，没有采用GB/T4754-2017标准。</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57"/>
        <w:gridCol w:w="6406"/>
      </w:tblGrid>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2457"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6406"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Layout w:type="fixed"/>
          <w:tblCellMar>
            <w:top w:w="0" w:type="dxa"/>
            <w:left w:w="108" w:type="dxa"/>
            <w:bottom w:w="0" w:type="dxa"/>
            <w:right w:w="108" w:type="dxa"/>
          </w:tblCellMar>
        </w:tblPrEx>
        <w:trPr>
          <w:trHeight w:val="280" w:hRule="atLeast"/>
        </w:trPr>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sz w:val="21"/>
                <w:woUserID w:val="5"/>
              </w:rPr>
            </w:pPr>
            <w:r>
              <w:rPr>
                <w:rFonts w:hint="eastAsia" w:ascii="宋体" w:hAnsi="宋体" w:eastAsia="宋体" w:cs="宋体"/>
                <w:i w:val="0"/>
                <w:color w:val="0D0D0D"/>
                <w:kern w:val="0"/>
                <w:sz w:val="18"/>
                <w:szCs w:val="18"/>
                <w:u w:val="none"/>
                <w:lang w:val="en-US" w:eastAsia="zh-CN" w:bidi="ar"/>
                <w:woUserID w:val="5"/>
              </w:rPr>
              <w:t>1</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sz w:val="21"/>
                <w:woUserID w:val="5"/>
              </w:rPr>
            </w:pPr>
            <w:r>
              <w:rPr>
                <w:rFonts w:hint="eastAsia" w:ascii="宋体" w:hAnsi="宋体" w:eastAsia="宋体" w:cs="宋体"/>
                <w:i w:val="0"/>
                <w:color w:val="0D0D0D"/>
                <w:kern w:val="0"/>
                <w:sz w:val="18"/>
                <w:szCs w:val="18"/>
                <w:u w:val="none"/>
                <w:lang w:val="en-US" w:eastAsia="zh-CN" w:bidi="ar"/>
              </w:rPr>
              <w:t>卫生行政</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sz w:val="21"/>
                <w:woUserID w:val="5"/>
              </w:rPr>
            </w:pPr>
            <w:r>
              <w:rPr>
                <w:rFonts w:hint="eastAsia" w:ascii="宋体" w:hAnsi="宋体" w:eastAsia="宋体" w:cs="宋体"/>
                <w:i w:val="0"/>
                <w:color w:val="0D0D0D"/>
                <w:kern w:val="0"/>
                <w:sz w:val="18"/>
                <w:szCs w:val="18"/>
                <w:u w:val="none"/>
                <w:lang w:val="en-US" w:eastAsia="zh-CN" w:bidi="ar"/>
              </w:rPr>
              <w:t>2</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sz w:val="21"/>
                <w:woUserID w:val="5"/>
              </w:rPr>
            </w:pPr>
            <w:r>
              <w:rPr>
                <w:rFonts w:hint="eastAsia" w:ascii="宋体" w:hAnsi="宋体" w:eastAsia="宋体" w:cs="宋体"/>
                <w:i w:val="0"/>
                <w:color w:val="0D0D0D"/>
                <w:kern w:val="0"/>
                <w:sz w:val="18"/>
                <w:szCs w:val="18"/>
                <w:u w:val="none"/>
                <w:lang w:val="en-US" w:eastAsia="zh-CN" w:bidi="ar"/>
              </w:rPr>
              <w:t>疾病控制</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p>
        </w:tc>
      </w:tr>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sz w:val="21"/>
                <w:woUserID w:val="5"/>
              </w:rPr>
            </w:pPr>
            <w:r>
              <w:rPr>
                <w:rFonts w:hint="eastAsia" w:ascii="宋体" w:hAnsi="宋体" w:eastAsia="宋体" w:cs="宋体"/>
                <w:i w:val="0"/>
                <w:color w:val="0D0D0D"/>
                <w:kern w:val="0"/>
                <w:sz w:val="18"/>
                <w:szCs w:val="18"/>
                <w:u w:val="none"/>
                <w:lang w:val="en-US" w:eastAsia="zh-CN" w:bidi="ar"/>
              </w:rPr>
              <w:t>3</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sz w:val="21"/>
                <w:woUserID w:val="5"/>
              </w:rPr>
            </w:pPr>
            <w:r>
              <w:rPr>
                <w:rFonts w:hint="eastAsia" w:ascii="宋体" w:hAnsi="宋体" w:eastAsia="宋体" w:cs="宋体"/>
                <w:i w:val="0"/>
                <w:color w:val="0D0D0D"/>
                <w:kern w:val="0"/>
                <w:sz w:val="18"/>
                <w:szCs w:val="18"/>
                <w:u w:val="none"/>
                <w:lang w:val="en-US" w:eastAsia="zh-CN" w:bidi="ar"/>
              </w:rPr>
              <w:t xml:space="preserve">    卫生监督</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default"/>
                <w:sz w:val="21"/>
                <w:woUserID w:val="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4</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妇幼保健</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5</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医疗救治</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6</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卫生科研</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7</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急救中心</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8</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血库血站</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rPr>
          <w:trHeight w:val="240" w:hRule="atLeast"/>
        </w:trPr>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9</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计划生育</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765"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99</w:t>
            </w:r>
          </w:p>
        </w:tc>
        <w:tc>
          <w:tcPr>
            <w:tcW w:w="2457" w:type="dxa"/>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i w:val="0"/>
                <w:color w:val="0D0D0D"/>
                <w:kern w:val="0"/>
                <w:sz w:val="18"/>
                <w:szCs w:val="18"/>
                <w:u w:val="none"/>
                <w:lang w:val="en-US" w:eastAsia="zh-CN" w:bidi="ar"/>
              </w:rPr>
              <w:t xml:space="preserve">    其他条线</w:t>
            </w:r>
          </w:p>
        </w:tc>
        <w:tc>
          <w:tcPr>
            <w:tcW w:w="6406" w:type="dxa"/>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kern w:val="0"/>
                <w:sz w:val="18"/>
                <w:szCs w:val="18"/>
                <w:u w:val="none"/>
                <w:lang w:val="en-US" w:eastAsia="zh-CN" w:bidi="ar"/>
                <w:woUserID w:val="5"/>
              </w:rPr>
            </w:pPr>
          </w:p>
        </w:tc>
      </w:tr>
    </w:tbl>
    <w:p>
      <w:pPr>
        <w:pStyle w:val="3"/>
        <w:numPr>
          <w:ilvl w:val="0"/>
          <w:numId w:val="3"/>
        </w:numPr>
        <w:spacing w:before="0" w:after="0" w:line="360" w:lineRule="auto"/>
        <w:jc w:val="left"/>
        <w:rPr>
          <w:woUserID w:val="5"/>
        </w:rPr>
      </w:pPr>
      <w:r>
        <w:rPr>
          <w:woUserID w:val="5"/>
        </w:rPr>
        <w:t>HACT01.00.010 设置/主办单位代码表</w:t>
      </w:r>
    </w:p>
    <w:p>
      <w:pPr>
        <w:numPr>
          <w:ilvl w:val="255"/>
          <w:numId w:val="0"/>
        </w:numPr>
        <w:jc w:val="left"/>
        <w:rPr>
          <w:rFonts w:hint="default"/>
          <w:b/>
          <w:woUserID w:val="5"/>
        </w:rPr>
      </w:pPr>
      <w:r>
        <w:rPr>
          <w:rFonts w:hint="eastAsia"/>
          <w:b/>
          <w:woUserID w:val="5"/>
        </w:rPr>
        <w:t>引用标准文号：</w:t>
      </w:r>
      <w:r>
        <w:rPr>
          <w:b w:val="0"/>
          <w:bCs w:val="0"/>
          <w:woUserID w:val="4"/>
        </w:rPr>
        <w:t>《全国卫生资源与医疗服务统计调查制度 》（2021年）(国卫规划函〔2021〕184号)“1.5.19 设置/主办单位代码”</w:t>
      </w:r>
      <w:r>
        <w:rPr>
          <w:rFonts w:ascii="宋体" w:hAnsi="宋体" w:eastAsia="宋体" w:cs="宋体"/>
          <w:sz w:val="24"/>
          <w:szCs w:val="24"/>
          <w:lang w:eastAsia="zh-CN"/>
          <w:woUserID w:val="4"/>
        </w:rPr>
        <w:t xml:space="preserve"> </w:t>
      </w:r>
      <w:r>
        <w:rPr>
          <w:b w:val="0"/>
          <w:bCs w:val="0"/>
          <w:woUserID w:val="4"/>
        </w:rPr>
        <w:t>。</w:t>
      </w:r>
    </w:p>
    <w:p>
      <w:pPr>
        <w:rPr>
          <w:woUserID w:val="5"/>
        </w:rPr>
      </w:pPr>
      <w:r>
        <w:rPr>
          <w:rFonts w:hint="eastAsia"/>
          <w:b/>
          <w:woUserID w:val="5"/>
        </w:rPr>
        <w:t>说明：</w:t>
      </w:r>
      <w:r>
        <w:rPr>
          <w:rFonts w:hint="eastAsia" w:ascii="宋体" w:hAnsi="宋体" w:eastAsia="宋体" w:cs="宋体"/>
          <w:sz w:val="22"/>
          <w:szCs w:val="22"/>
          <w:lang w:val="en-US" w:eastAsia="zh-CN" w:bidi="ar"/>
          <w:woUserID w:val="4"/>
        </w:rPr>
        <w:t>已移交卫生健康行政部门的红十字会医院按“1”编码。</w:t>
      </w:r>
      <w:r>
        <w:rPr>
          <w:rFonts w:ascii="宋体" w:hAnsi="宋体" w:eastAsia="宋体" w:cs="宋体"/>
          <w:sz w:val="24"/>
          <w:szCs w:val="24"/>
          <w:lang w:eastAsia="zh-CN"/>
          <w:woUserID w:val="4"/>
        </w:rPr>
        <w:t xml:space="preserve"> </w:t>
      </w:r>
    </w:p>
    <w:tbl>
      <w:tblPr>
        <w:tblStyle w:val="10"/>
        <w:tblW w:w="96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782"/>
        <w:gridCol w:w="7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w:t>
            </w:r>
          </w:p>
        </w:tc>
        <w:tc>
          <w:tcPr>
            <w:tcW w:w="1782"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值含义</w:t>
            </w:r>
          </w:p>
        </w:tc>
        <w:tc>
          <w:tcPr>
            <w:tcW w:w="7216" w:type="dxa"/>
            <w:shd w:val="clear" w:color="auto" w:fill="auto"/>
            <w:vAlign w:val="center"/>
          </w:tcPr>
          <w:p>
            <w:pPr>
              <w:keepNext w:val="0"/>
              <w:keepLines w:val="0"/>
              <w:suppressLineNumbers w:val="0"/>
              <w:spacing w:before="0" w:beforeAutospacing="0" w:after="0" w:afterAutospacing="0"/>
              <w:ind w:left="0" w:right="0"/>
              <w:jc w:val="center"/>
              <w:rPr>
                <w:rFonts w:hint="eastAsia"/>
                <w:b/>
                <w:sz w:val="21"/>
                <w:woUserID w:val="5"/>
              </w:rPr>
            </w:pPr>
            <w:r>
              <w:rPr>
                <w:rFonts w:hint="eastAsia"/>
                <w:b/>
                <w:sz w:val="21"/>
                <w:woUserID w:val="5"/>
              </w:rPr>
              <w:t>说明</w:t>
            </w:r>
          </w:p>
        </w:tc>
      </w:tr>
      <w:tr>
        <w:tblPrEx>
          <w:tblLayout w:type="fixed"/>
          <w:tblCellMar>
            <w:top w:w="0" w:type="dxa"/>
            <w:left w:w="108" w:type="dxa"/>
            <w:bottom w:w="0" w:type="dxa"/>
            <w:right w:w="108" w:type="dxa"/>
          </w:tblCellMar>
        </w:tblPrEx>
        <w:trPr>
          <w:trHeight w:val="280" w:hRule="atLeast"/>
        </w:trPr>
        <w:tc>
          <w:tcPr>
            <w:tcW w:w="630" w:type="dxa"/>
            <w:shd w:val="clear" w:color="auto" w:fill="auto"/>
            <w:vAlign w:val="top"/>
          </w:tcPr>
          <w:p>
            <w:pPr>
              <w:pStyle w:val="9"/>
              <w:keepNext w:val="0"/>
              <w:keepLines w:val="0"/>
              <w:widowControl w:val="0"/>
              <w:suppressLineNumbers w:val="0"/>
              <w:autoSpaceDE w:val="0"/>
              <w:autoSpaceDN w:val="0"/>
              <w:spacing w:before="140" w:beforeAutospacing="0" w:after="0" w:afterAutospacing="0"/>
              <w:ind w:left="0" w:leftChars="0" w:right="52" w:rightChars="0"/>
              <w:jc w:val="center"/>
              <w:rPr>
                <w:rFonts w:hint="default"/>
                <w:sz w:val="21"/>
                <w:woUserID w:val="5"/>
              </w:rPr>
            </w:pPr>
            <w:r>
              <w:rPr>
                <w:rFonts w:hint="eastAsia" w:ascii="宋体" w:hAnsi="宋体" w:eastAsia="宋体" w:cs="宋体"/>
                <w:kern w:val="0"/>
                <w:sz w:val="18"/>
                <w:szCs w:val="22"/>
                <w:lang w:val="en-US" w:eastAsia="zh-CN" w:bidi="ar"/>
                <w:woUserID w:val="4"/>
              </w:rPr>
              <w:t>1</w:t>
            </w:r>
          </w:p>
        </w:tc>
        <w:tc>
          <w:tcPr>
            <w:tcW w:w="1782" w:type="dxa"/>
            <w:shd w:val="clear" w:color="auto" w:fill="auto"/>
            <w:vAlign w:val="top"/>
          </w:tcPr>
          <w:p>
            <w:pPr>
              <w:pStyle w:val="9"/>
              <w:keepNext w:val="0"/>
              <w:keepLines w:val="0"/>
              <w:widowControl w:val="0"/>
              <w:suppressLineNumbers w:val="0"/>
              <w:autoSpaceDE w:val="0"/>
              <w:autoSpaceDN w:val="0"/>
              <w:spacing w:before="140" w:beforeAutospacing="0" w:after="0" w:afterAutospacing="0"/>
              <w:ind w:left="108" w:leftChars="0" w:right="0" w:rightChars="0"/>
              <w:jc w:val="left"/>
              <w:rPr>
                <w:rFonts w:hint="default"/>
                <w:sz w:val="21"/>
                <w:woUserID w:val="5"/>
              </w:rPr>
            </w:pPr>
            <w:r>
              <w:rPr>
                <w:rFonts w:hint="eastAsia" w:ascii="宋体" w:hAnsi="宋体" w:eastAsia="宋体" w:cs="宋体"/>
                <w:kern w:val="0"/>
                <w:sz w:val="18"/>
                <w:szCs w:val="22"/>
                <w:lang w:val="en-US" w:eastAsia="zh-CN" w:bidi="ar"/>
              </w:rPr>
              <w:t>卫生健康行政部门</w:t>
            </w:r>
          </w:p>
        </w:tc>
        <w:tc>
          <w:tcPr>
            <w:tcW w:w="7216" w:type="dxa"/>
            <w:shd w:val="clear" w:color="auto" w:fill="auto"/>
            <w:vAlign w:val="top"/>
          </w:tcPr>
          <w:p>
            <w:pPr>
              <w:pStyle w:val="9"/>
              <w:keepNext w:val="0"/>
              <w:keepLines w:val="0"/>
              <w:widowControl w:val="0"/>
              <w:suppressLineNumbers w:val="0"/>
              <w:autoSpaceDE w:val="0"/>
              <w:autoSpaceDN w:val="0"/>
              <w:spacing w:before="140" w:beforeAutospacing="0" w:after="0" w:afterAutospacing="0"/>
              <w:ind w:left="108" w:leftChars="0" w:right="0" w:rightChars="0"/>
              <w:jc w:val="left"/>
              <w:rPr>
                <w:rFonts w:hint="default"/>
                <w:sz w:val="21"/>
                <w:woUserID w:val="5"/>
              </w:rPr>
            </w:pPr>
            <w:r>
              <w:rPr>
                <w:rFonts w:hint="eastAsia" w:ascii="宋体" w:hAnsi="宋体" w:eastAsia="宋体" w:cs="宋体"/>
                <w:kern w:val="0"/>
                <w:sz w:val="18"/>
                <w:szCs w:val="22"/>
                <w:lang w:val="en-US" w:eastAsia="zh-CN" w:bidi="ar"/>
              </w:rPr>
              <w:t>包括国家卫生健康委管的高等院校附属医院</w:t>
            </w:r>
          </w:p>
        </w:tc>
      </w:tr>
      <w:tr>
        <w:tblPrEx>
          <w:tblLayout w:type="fixed"/>
          <w:tblCellMar>
            <w:top w:w="0" w:type="dxa"/>
            <w:left w:w="108" w:type="dxa"/>
            <w:bottom w:w="0" w:type="dxa"/>
            <w:right w:w="108" w:type="dxa"/>
          </w:tblCellMar>
        </w:tblPrEx>
        <w:trPr>
          <w:trHeight w:val="280" w:hRule="atLeast"/>
        </w:trPr>
        <w:tc>
          <w:tcPr>
            <w:tcW w:w="630"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0" w:leftChars="0" w:right="52" w:rightChars="0"/>
              <w:jc w:val="center"/>
              <w:rPr>
                <w:rFonts w:hint="default"/>
                <w:sz w:val="21"/>
                <w:woUserID w:val="5"/>
              </w:rPr>
            </w:pPr>
            <w:r>
              <w:rPr>
                <w:rFonts w:hint="eastAsia" w:ascii="宋体" w:hAnsi="宋体" w:eastAsia="宋体" w:cs="宋体"/>
                <w:kern w:val="0"/>
                <w:sz w:val="18"/>
                <w:szCs w:val="22"/>
                <w:lang w:val="en-US" w:eastAsia="zh-CN" w:bidi="ar"/>
              </w:rPr>
              <w:t>2</w:t>
            </w:r>
          </w:p>
        </w:tc>
        <w:tc>
          <w:tcPr>
            <w:tcW w:w="1782"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default"/>
                <w:sz w:val="21"/>
                <w:woUserID w:val="5"/>
              </w:rPr>
            </w:pPr>
            <w:r>
              <w:rPr>
                <w:rFonts w:hint="eastAsia" w:ascii="宋体" w:hAnsi="宋体" w:eastAsia="宋体" w:cs="宋体"/>
                <w:kern w:val="0"/>
                <w:sz w:val="18"/>
                <w:szCs w:val="22"/>
                <w:lang w:val="en-US" w:eastAsia="zh-CN" w:bidi="ar"/>
              </w:rPr>
              <w:t>其他行政部门</w:t>
            </w:r>
          </w:p>
        </w:tc>
        <w:tc>
          <w:tcPr>
            <w:tcW w:w="7216"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default"/>
                <w:sz w:val="21"/>
                <w:woUserID w:val="5"/>
              </w:rPr>
            </w:pPr>
            <w:r>
              <w:rPr>
                <w:rFonts w:hint="eastAsia" w:ascii="宋体" w:hAnsi="宋体" w:eastAsia="宋体" w:cs="宋体"/>
                <w:kern w:val="0"/>
                <w:sz w:val="18"/>
                <w:szCs w:val="22"/>
                <w:lang w:val="en-US" w:eastAsia="zh-CN" w:bidi="ar"/>
              </w:rPr>
              <w:t>指公安、民政、司法、兵团等行政部门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shd w:val="clear" w:color="auto" w:fill="auto"/>
            <w:vAlign w:val="top"/>
          </w:tcPr>
          <w:p>
            <w:pPr>
              <w:pStyle w:val="9"/>
              <w:keepNext w:val="0"/>
              <w:keepLines w:val="0"/>
              <w:widowControl w:val="0"/>
              <w:suppressLineNumbers w:val="0"/>
              <w:autoSpaceDE w:val="0"/>
              <w:autoSpaceDN w:val="0"/>
              <w:spacing w:before="52" w:beforeAutospacing="0" w:after="0" w:afterAutospacing="0"/>
              <w:ind w:left="0" w:leftChars="0" w:right="52" w:rightChars="0"/>
              <w:jc w:val="center"/>
              <w:rPr>
                <w:rFonts w:hint="default"/>
                <w:sz w:val="21"/>
                <w:woUserID w:val="5"/>
              </w:rPr>
            </w:pPr>
            <w:r>
              <w:rPr>
                <w:rFonts w:hint="eastAsia" w:ascii="宋体" w:hAnsi="宋体" w:eastAsia="宋体" w:cs="宋体"/>
                <w:kern w:val="0"/>
                <w:sz w:val="18"/>
                <w:szCs w:val="22"/>
                <w:lang w:val="en-US" w:eastAsia="zh-CN" w:bidi="ar"/>
              </w:rPr>
              <w:t>3</w:t>
            </w:r>
          </w:p>
        </w:tc>
        <w:tc>
          <w:tcPr>
            <w:tcW w:w="1782" w:type="dxa"/>
            <w:shd w:val="clear" w:color="auto" w:fill="auto"/>
            <w:vAlign w:val="top"/>
          </w:tcPr>
          <w:p>
            <w:pPr>
              <w:pStyle w:val="9"/>
              <w:keepNext w:val="0"/>
              <w:keepLines w:val="0"/>
              <w:widowControl w:val="0"/>
              <w:suppressLineNumbers w:val="0"/>
              <w:autoSpaceDE w:val="0"/>
              <w:autoSpaceDN w:val="0"/>
              <w:spacing w:before="52" w:beforeAutospacing="0" w:after="0" w:afterAutospacing="0"/>
              <w:ind w:left="108" w:leftChars="0" w:right="0" w:rightChars="0"/>
              <w:jc w:val="left"/>
              <w:rPr>
                <w:rFonts w:hint="default"/>
                <w:sz w:val="21"/>
                <w:woUserID w:val="5"/>
              </w:rPr>
            </w:pPr>
            <w:r>
              <w:rPr>
                <w:rFonts w:hint="eastAsia" w:ascii="宋体" w:hAnsi="宋体" w:eastAsia="宋体" w:cs="宋体"/>
                <w:kern w:val="0"/>
                <w:sz w:val="18"/>
                <w:szCs w:val="22"/>
                <w:lang w:val="en-US" w:eastAsia="zh-CN" w:bidi="ar"/>
              </w:rPr>
              <w:t>企业</w:t>
            </w:r>
          </w:p>
        </w:tc>
        <w:tc>
          <w:tcPr>
            <w:tcW w:w="7216" w:type="dxa"/>
            <w:shd w:val="clear" w:color="auto" w:fill="auto"/>
            <w:vAlign w:val="top"/>
          </w:tcPr>
          <w:p>
            <w:pPr>
              <w:pStyle w:val="9"/>
              <w:keepNext w:val="0"/>
              <w:keepLines w:val="0"/>
              <w:widowControl w:val="0"/>
              <w:suppressLineNumbers w:val="0"/>
              <w:autoSpaceDE w:val="0"/>
              <w:autoSpaceDN w:val="0"/>
              <w:spacing w:before="52" w:beforeAutospacing="0" w:after="0" w:afterAutospacing="0"/>
              <w:ind w:left="108" w:leftChars="0" w:right="0" w:rightChars="0"/>
              <w:jc w:val="left"/>
              <w:rPr>
                <w:rFonts w:hint="default"/>
                <w:sz w:val="21"/>
                <w:woUserID w:val="5"/>
              </w:rPr>
            </w:pPr>
            <w:r>
              <w:rPr>
                <w:rFonts w:hint="eastAsia" w:ascii="宋体" w:hAnsi="宋体" w:eastAsia="宋体" w:cs="宋体"/>
                <w:kern w:val="0"/>
                <w:sz w:val="18"/>
                <w:szCs w:val="22"/>
                <w:lang w:val="en-US" w:eastAsia="zh-CN" w:bidi="ar"/>
              </w:rPr>
              <w:t>包括国有、集体、联营、私有、台港澳投资、国外投资等经济类型企业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0" w:type="dxa"/>
            <w:shd w:val="clear" w:color="auto" w:fill="auto"/>
            <w:vAlign w:val="top"/>
          </w:tcPr>
          <w:p>
            <w:pPr>
              <w:pStyle w:val="9"/>
              <w:keepNext w:val="0"/>
              <w:keepLines w:val="0"/>
              <w:widowControl w:val="0"/>
              <w:suppressLineNumbers w:val="0"/>
              <w:autoSpaceDE w:val="0"/>
              <w:autoSpaceDN w:val="0"/>
              <w:spacing w:before="108" w:beforeAutospacing="0" w:after="0" w:afterAutospacing="0" w:line="224" w:lineRule="exact"/>
              <w:ind w:left="12" w:leftChars="0" w:right="0" w:rightChars="0"/>
              <w:jc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4</w:t>
            </w:r>
          </w:p>
        </w:tc>
        <w:tc>
          <w:tcPr>
            <w:tcW w:w="1782" w:type="dxa"/>
            <w:shd w:val="clear" w:color="auto" w:fill="auto"/>
            <w:vAlign w:val="top"/>
          </w:tcPr>
          <w:p>
            <w:pPr>
              <w:pStyle w:val="9"/>
              <w:keepNext w:val="0"/>
              <w:keepLines w:val="0"/>
              <w:widowControl w:val="0"/>
              <w:suppressLineNumbers w:val="0"/>
              <w:autoSpaceDE w:val="0"/>
              <w:autoSpaceDN w:val="0"/>
              <w:spacing w:before="108" w:beforeAutospacing="0" w:after="0" w:afterAutospacing="0" w:line="224" w:lineRule="exact"/>
              <w:ind w:left="108" w:leftChars="0" w:right="0" w:rightChars="0"/>
              <w:jc w:val="left"/>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事业单位</w:t>
            </w:r>
          </w:p>
        </w:tc>
        <w:tc>
          <w:tcPr>
            <w:tcW w:w="7216" w:type="dxa"/>
            <w:shd w:val="clear" w:color="auto" w:fill="auto"/>
            <w:vAlign w:val="top"/>
          </w:tcPr>
          <w:p>
            <w:pPr>
              <w:pStyle w:val="9"/>
              <w:keepNext w:val="0"/>
              <w:keepLines w:val="0"/>
              <w:widowControl w:val="0"/>
              <w:suppressLineNumbers w:val="0"/>
              <w:autoSpaceDE w:val="0"/>
              <w:autoSpaceDN w:val="0"/>
              <w:spacing w:before="45" w:beforeAutospacing="0" w:after="0" w:afterAutospacing="0"/>
              <w:ind w:left="108" w:leftChars="0" w:right="0" w:rightChars="0"/>
              <w:jc w:val="left"/>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包括卫生健康及其他行政部门举办的医疗卫生机构下设的机构，不归卫生健康委管的高等院校附属医院</w:t>
            </w:r>
          </w:p>
        </w:tc>
      </w:tr>
      <w:tr>
        <w:tblPrEx>
          <w:tblLayout w:type="fixed"/>
          <w:tblCellMar>
            <w:top w:w="0" w:type="dxa"/>
            <w:left w:w="108" w:type="dxa"/>
            <w:bottom w:w="0" w:type="dxa"/>
            <w:right w:w="108" w:type="dxa"/>
          </w:tblCellMar>
        </w:tblPrEx>
        <w:tc>
          <w:tcPr>
            <w:tcW w:w="630" w:type="dxa"/>
            <w:shd w:val="clear" w:color="auto" w:fill="auto"/>
            <w:vAlign w:val="top"/>
          </w:tcPr>
          <w:p>
            <w:pPr>
              <w:pStyle w:val="9"/>
              <w:keepNext w:val="0"/>
              <w:keepLines w:val="0"/>
              <w:widowControl w:val="0"/>
              <w:suppressLineNumbers w:val="0"/>
              <w:autoSpaceDE w:val="0"/>
              <w:autoSpaceDN w:val="0"/>
              <w:spacing w:before="76" w:beforeAutospacing="0" w:after="0" w:afterAutospacing="0"/>
              <w:ind w:left="12" w:leftChars="0" w:right="0" w:rightChars="0"/>
              <w:jc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5</w:t>
            </w:r>
          </w:p>
        </w:tc>
        <w:tc>
          <w:tcPr>
            <w:tcW w:w="1782" w:type="dxa"/>
            <w:shd w:val="clear" w:color="auto" w:fill="auto"/>
            <w:vAlign w:val="top"/>
          </w:tcPr>
          <w:p>
            <w:pPr>
              <w:pStyle w:val="9"/>
              <w:keepNext w:val="0"/>
              <w:keepLines w:val="0"/>
              <w:widowControl w:val="0"/>
              <w:suppressLineNumbers w:val="0"/>
              <w:autoSpaceDE w:val="0"/>
              <w:autoSpaceDN w:val="0"/>
              <w:spacing w:before="76" w:beforeAutospacing="0" w:after="0" w:afterAutospacing="0"/>
              <w:ind w:left="108" w:leftChars="0" w:right="0" w:rightChars="0"/>
              <w:jc w:val="left"/>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社会团体</w:t>
            </w:r>
          </w:p>
        </w:tc>
        <w:tc>
          <w:tcPr>
            <w:tcW w:w="7216" w:type="dxa"/>
            <w:shd w:val="clear" w:color="auto" w:fill="auto"/>
            <w:vAlign w:val="top"/>
          </w:tcPr>
          <w:p>
            <w:pPr>
              <w:pStyle w:val="9"/>
              <w:keepNext w:val="0"/>
              <w:keepLines w:val="0"/>
              <w:widowControl w:val="0"/>
              <w:suppressLineNumbers w:val="0"/>
              <w:autoSpaceDE w:val="0"/>
              <w:autoSpaceDN w:val="0"/>
              <w:spacing w:before="0" w:beforeAutospacing="0" w:after="0" w:afterAutospacing="0"/>
              <w:ind w:left="0" w:leftChars="0" w:right="0" w:rightChars="0"/>
              <w:jc w:val="left"/>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630"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2" w:leftChars="0" w:right="0" w:rightChars="0"/>
              <w:jc w:val="center"/>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6</w:t>
            </w:r>
          </w:p>
        </w:tc>
        <w:tc>
          <w:tcPr>
            <w:tcW w:w="1782" w:type="dxa"/>
            <w:shd w:val="clear" w:color="auto" w:fill="auto"/>
            <w:vAlign w:val="top"/>
          </w:tcPr>
          <w:p>
            <w:pPr>
              <w:pStyle w:val="9"/>
              <w:keepNext w:val="0"/>
              <w:keepLines w:val="0"/>
              <w:widowControl w:val="0"/>
              <w:suppressLineNumbers w:val="0"/>
              <w:autoSpaceDE w:val="0"/>
              <w:autoSpaceDN w:val="0"/>
              <w:spacing w:before="85" w:beforeAutospacing="0" w:after="0" w:afterAutospacing="0"/>
              <w:ind w:left="108" w:leftChars="0" w:right="0" w:rightChars="0"/>
              <w:jc w:val="left"/>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其他社会组织</w:t>
            </w:r>
          </w:p>
        </w:tc>
        <w:tc>
          <w:tcPr>
            <w:tcW w:w="7216" w:type="dxa"/>
            <w:shd w:val="clear" w:color="auto" w:fill="auto"/>
            <w:vAlign w:val="top"/>
          </w:tcPr>
          <w:p>
            <w:pPr>
              <w:pStyle w:val="9"/>
              <w:keepNext w:val="0"/>
              <w:keepLines w:val="0"/>
              <w:widowControl w:val="0"/>
              <w:suppressLineNumbers w:val="0"/>
              <w:autoSpaceDE w:val="0"/>
              <w:autoSpaceDN w:val="0"/>
              <w:spacing w:before="0" w:beforeAutospacing="0" w:after="0" w:afterAutospacing="0"/>
              <w:ind w:left="0" w:leftChars="0" w:right="0" w:rightChars="0"/>
              <w:jc w:val="left"/>
              <w:rPr>
                <w:rFonts w:hint="eastAsia" w:ascii="宋体" w:hAnsi="宋体" w:eastAsia="宋体" w:cs="宋体"/>
                <w:i w:val="0"/>
                <w:color w:val="000000"/>
                <w:kern w:val="0"/>
                <w:sz w:val="18"/>
                <w:szCs w:val="18"/>
                <w:u w:val="none"/>
                <w:lang w:val="en-US" w:eastAsia="zh-CN" w:bidi="ar"/>
                <w:woUserID w:val="5"/>
              </w:rPr>
            </w:pPr>
          </w:p>
        </w:tc>
      </w:tr>
      <w:tr>
        <w:tblPrEx>
          <w:tblLayout w:type="fixed"/>
          <w:tblCellMar>
            <w:top w:w="0" w:type="dxa"/>
            <w:left w:w="108" w:type="dxa"/>
            <w:bottom w:w="0" w:type="dxa"/>
            <w:right w:w="108" w:type="dxa"/>
          </w:tblCellMar>
        </w:tblPrEx>
        <w:tc>
          <w:tcPr>
            <w:tcW w:w="630"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2" w:leftChars="0" w:right="0" w:rightChars="0"/>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kern w:val="0"/>
                <w:sz w:val="18"/>
                <w:szCs w:val="22"/>
                <w:lang w:val="en-US" w:eastAsia="zh-CN" w:bidi="ar"/>
              </w:rPr>
              <w:t>7</w:t>
            </w:r>
          </w:p>
        </w:tc>
        <w:tc>
          <w:tcPr>
            <w:tcW w:w="1782"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08" w:leftChars="0" w:right="0" w:rightChars="0"/>
              <w:jc w:val="left"/>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kern w:val="0"/>
                <w:sz w:val="18"/>
                <w:szCs w:val="22"/>
                <w:lang w:val="en-US" w:eastAsia="zh-CN" w:bidi="ar"/>
              </w:rPr>
              <w:t>个人</w:t>
            </w:r>
          </w:p>
        </w:tc>
        <w:tc>
          <w:tcPr>
            <w:tcW w:w="7216" w:type="dxa"/>
            <w:shd w:val="clear" w:color="auto" w:fill="auto"/>
            <w:vAlign w:val="top"/>
          </w:tcPr>
          <w:p>
            <w:pPr>
              <w:pStyle w:val="9"/>
              <w:keepNext w:val="0"/>
              <w:keepLines w:val="0"/>
              <w:widowControl w:val="0"/>
              <w:suppressLineNumbers w:val="0"/>
              <w:autoSpaceDE w:val="0"/>
              <w:autoSpaceDN w:val="0"/>
              <w:spacing w:before="84" w:beforeAutospacing="0" w:after="0" w:afterAutospacing="0"/>
              <w:ind w:left="108" w:leftChars="0" w:right="0" w:rightChars="0"/>
              <w:jc w:val="left"/>
              <w:rPr>
                <w:rFonts w:hint="eastAsia" w:ascii="宋体" w:hAnsi="宋体" w:eastAsia="宋体" w:cs="宋体"/>
                <w:i w:val="0"/>
                <w:color w:val="000000"/>
                <w:kern w:val="0"/>
                <w:sz w:val="18"/>
                <w:szCs w:val="18"/>
                <w:u w:val="none"/>
                <w:lang w:val="en-US" w:eastAsia="zh-CN" w:bidi="ar"/>
                <w:woUserID w:val="5"/>
              </w:rPr>
            </w:pPr>
            <w:r>
              <w:rPr>
                <w:rFonts w:hint="eastAsia" w:ascii="宋体" w:hAnsi="宋体" w:eastAsia="宋体" w:cs="宋体"/>
                <w:kern w:val="0"/>
                <w:sz w:val="18"/>
                <w:szCs w:val="22"/>
                <w:lang w:val="en-US" w:eastAsia="zh-CN" w:bidi="ar"/>
              </w:rPr>
              <w:t>不包括私有企业所办医疗机构</w:t>
            </w:r>
          </w:p>
        </w:tc>
      </w:tr>
    </w:tbl>
    <w:p>
      <w:pPr>
        <w:rPr>
          <w:b/>
          <w:woUserID w:val="5"/>
        </w:rPr>
      </w:pPr>
    </w:p>
    <w:sectPr>
      <w:headerReference r:id="rId3" w:type="default"/>
      <w:footerReference r:id="rId4" w:type="default"/>
      <w:footerReference r:id="rId5" w:type="even"/>
      <w:pgSz w:w="11906" w:h="16838"/>
      <w:pgMar w:top="1440" w:right="1134" w:bottom="1440" w:left="1134" w:header="851" w:footer="851"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仿宋">
    <w:altName w:val="汉仪仿宋KW"/>
    <w:panose1 w:val="02010609060101010101"/>
    <w:charset w:val="86"/>
    <w:family w:val="modern"/>
    <w:pitch w:val="default"/>
    <w:sig w:usb0="00000000" w:usb1="00000000" w:usb2="00000016" w:usb3="00000000" w:csb0="00040001" w:csb1="00000000"/>
  </w:font>
  <w:font w:name="汉仪中等线KW">
    <w:panose1 w:val="01010104010101010101"/>
    <w:charset w:val="86"/>
    <w:family w:val="auto"/>
    <w:pitch w:val="default"/>
    <w:sig w:usb0="800002BF" w:usb1="004F7CFA" w:usb2="00000000" w:usb3="00000000" w:csb0="00040001" w:csb1="00000000"/>
  </w:font>
  <w:font w:name="汉仪仿宋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rPr>
        <w:rStyle w:val="13"/>
      </w:rPr>
      <w:fldChar w:fldCharType="begin"/>
    </w:r>
    <w:r>
      <w:rPr>
        <w:rStyle w:val="13"/>
      </w:rPr>
      <w:instrText xml:space="preserve"> PAGE </w:instrText>
    </w:r>
    <w:r>
      <w:rPr>
        <w:rStyle w:val="13"/>
      </w:rPr>
      <w:fldChar w:fldCharType="separate"/>
    </w:r>
    <w:r>
      <w:rPr>
        <w:rStyle w:val="13"/>
      </w:rPr>
      <w:t>55</w:t>
    </w:r>
    <w:r>
      <w:rPr>
        <w:rStyle w:val="13"/>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rPr>
        <w:rStyle w:val="13"/>
      </w:rPr>
      <w:fldChar w:fldCharType="begin"/>
    </w:r>
    <w:r>
      <w:rPr>
        <w:rStyle w:val="13"/>
      </w:rPr>
      <w:instrText xml:space="preserve"> PAGE </w:instrText>
    </w:r>
    <w:r>
      <w:rPr>
        <w:rStyle w:val="13"/>
      </w:rP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hint="eastAsia"/>
      </w:rPr>
      <w:t>河南卫生信息标准第二部分</w:t>
    </w:r>
    <w:r>
      <w:t xml:space="preserve"> 值域字典部分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29C9"/>
    <w:multiLevelType w:val="multilevel"/>
    <w:tmpl w:val="1E8C29C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5CD59D5"/>
    <w:multiLevelType w:val="multilevel"/>
    <w:tmpl w:val="25CD59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B57541"/>
    <w:multiLevelType w:val="multilevel"/>
    <w:tmpl w:val="41B575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235"/>
    <w:rsid w:val="00007FF0"/>
    <w:rsid w:val="0002108D"/>
    <w:rsid w:val="00044BBB"/>
    <w:rsid w:val="000906B9"/>
    <w:rsid w:val="000973B3"/>
    <w:rsid w:val="00097A26"/>
    <w:rsid w:val="00103BE6"/>
    <w:rsid w:val="0012015D"/>
    <w:rsid w:val="001379D4"/>
    <w:rsid w:val="001E67D5"/>
    <w:rsid w:val="00207461"/>
    <w:rsid w:val="0026479E"/>
    <w:rsid w:val="002733BC"/>
    <w:rsid w:val="00303A77"/>
    <w:rsid w:val="003C28EB"/>
    <w:rsid w:val="004057B4"/>
    <w:rsid w:val="00486287"/>
    <w:rsid w:val="0049451E"/>
    <w:rsid w:val="004A376F"/>
    <w:rsid w:val="00526224"/>
    <w:rsid w:val="0054451F"/>
    <w:rsid w:val="00551C52"/>
    <w:rsid w:val="00564E58"/>
    <w:rsid w:val="005F3755"/>
    <w:rsid w:val="00612533"/>
    <w:rsid w:val="006661AB"/>
    <w:rsid w:val="00673E0C"/>
    <w:rsid w:val="006C7EBB"/>
    <w:rsid w:val="006F5A4E"/>
    <w:rsid w:val="006F5C5C"/>
    <w:rsid w:val="00745212"/>
    <w:rsid w:val="0075180D"/>
    <w:rsid w:val="00801150"/>
    <w:rsid w:val="0080291E"/>
    <w:rsid w:val="00830B7D"/>
    <w:rsid w:val="0084531A"/>
    <w:rsid w:val="00845666"/>
    <w:rsid w:val="008B3AA3"/>
    <w:rsid w:val="008D6A24"/>
    <w:rsid w:val="008D710B"/>
    <w:rsid w:val="008E019C"/>
    <w:rsid w:val="008E530B"/>
    <w:rsid w:val="00903FCF"/>
    <w:rsid w:val="00917597"/>
    <w:rsid w:val="00933FB1"/>
    <w:rsid w:val="00964F46"/>
    <w:rsid w:val="009F0E48"/>
    <w:rsid w:val="00A13235"/>
    <w:rsid w:val="00A271E0"/>
    <w:rsid w:val="00A46A3A"/>
    <w:rsid w:val="00A5011F"/>
    <w:rsid w:val="00AA0C99"/>
    <w:rsid w:val="00AF6CD5"/>
    <w:rsid w:val="00B10F15"/>
    <w:rsid w:val="00BE1928"/>
    <w:rsid w:val="00BE30DE"/>
    <w:rsid w:val="00C346FA"/>
    <w:rsid w:val="00C9692F"/>
    <w:rsid w:val="00CC1575"/>
    <w:rsid w:val="00D23CB4"/>
    <w:rsid w:val="00D26489"/>
    <w:rsid w:val="00DE1AB5"/>
    <w:rsid w:val="00DE236A"/>
    <w:rsid w:val="00DF1E43"/>
    <w:rsid w:val="00E13EBE"/>
    <w:rsid w:val="00E362D8"/>
    <w:rsid w:val="00E67B47"/>
    <w:rsid w:val="00E75ED5"/>
    <w:rsid w:val="00E87B35"/>
    <w:rsid w:val="00EA60A0"/>
    <w:rsid w:val="00F05675"/>
    <w:rsid w:val="00F06737"/>
    <w:rsid w:val="00F75D25"/>
    <w:rsid w:val="00F90504"/>
    <w:rsid w:val="00FD0F46"/>
    <w:rsid w:val="00FE3C79"/>
    <w:rsid w:val="04BC1DCD"/>
    <w:rsid w:val="142FD563"/>
    <w:rsid w:val="17DF40FC"/>
    <w:rsid w:val="17DFDCD8"/>
    <w:rsid w:val="17F37A3F"/>
    <w:rsid w:val="19FA6F6D"/>
    <w:rsid w:val="1B6F8E05"/>
    <w:rsid w:val="1BD35382"/>
    <w:rsid w:val="1BF7DB21"/>
    <w:rsid w:val="1DF9D1DC"/>
    <w:rsid w:val="1DFFCAA1"/>
    <w:rsid w:val="1F7D80A7"/>
    <w:rsid w:val="273BB24E"/>
    <w:rsid w:val="27B37A1B"/>
    <w:rsid w:val="27D9A6B3"/>
    <w:rsid w:val="27F35BA5"/>
    <w:rsid w:val="2A7EDF57"/>
    <w:rsid w:val="2BF7DD55"/>
    <w:rsid w:val="2BF95658"/>
    <w:rsid w:val="2BFE68FE"/>
    <w:rsid w:val="2BFFC679"/>
    <w:rsid w:val="2ED66F3B"/>
    <w:rsid w:val="2F91905C"/>
    <w:rsid w:val="2FDF7FF3"/>
    <w:rsid w:val="2FF97A17"/>
    <w:rsid w:val="2FFB34F9"/>
    <w:rsid w:val="2FFB8792"/>
    <w:rsid w:val="338F0C73"/>
    <w:rsid w:val="33DD171E"/>
    <w:rsid w:val="33FFDA72"/>
    <w:rsid w:val="35FE15EE"/>
    <w:rsid w:val="36B5C1CA"/>
    <w:rsid w:val="374564E4"/>
    <w:rsid w:val="3767C5B9"/>
    <w:rsid w:val="377BDC69"/>
    <w:rsid w:val="37BDFDE6"/>
    <w:rsid w:val="37CF2805"/>
    <w:rsid w:val="3975BB9C"/>
    <w:rsid w:val="39DFEE62"/>
    <w:rsid w:val="3ADBD19E"/>
    <w:rsid w:val="3AFDED9F"/>
    <w:rsid w:val="3B7BF497"/>
    <w:rsid w:val="3BBFA59F"/>
    <w:rsid w:val="3BEB091B"/>
    <w:rsid w:val="3BF65200"/>
    <w:rsid w:val="3BFBFB1D"/>
    <w:rsid w:val="3CECAED5"/>
    <w:rsid w:val="3DBFC1A1"/>
    <w:rsid w:val="3DCFE23C"/>
    <w:rsid w:val="3DD767D6"/>
    <w:rsid w:val="3DEC9EB4"/>
    <w:rsid w:val="3DEF544E"/>
    <w:rsid w:val="3DF5889B"/>
    <w:rsid w:val="3DFE4D0A"/>
    <w:rsid w:val="3EEAC68E"/>
    <w:rsid w:val="3EFB01AF"/>
    <w:rsid w:val="3EFDBEBE"/>
    <w:rsid w:val="3F33661B"/>
    <w:rsid w:val="3F3B9903"/>
    <w:rsid w:val="3F4765AB"/>
    <w:rsid w:val="3F4F3A25"/>
    <w:rsid w:val="3F72C7B6"/>
    <w:rsid w:val="3F7DC77B"/>
    <w:rsid w:val="3FDE6373"/>
    <w:rsid w:val="3FE70C10"/>
    <w:rsid w:val="3FEEF3A6"/>
    <w:rsid w:val="3FF9853E"/>
    <w:rsid w:val="3FFB3584"/>
    <w:rsid w:val="3FFC0FB0"/>
    <w:rsid w:val="3FFD8F6E"/>
    <w:rsid w:val="3FFDEF91"/>
    <w:rsid w:val="3FFFDF24"/>
    <w:rsid w:val="3FFFE894"/>
    <w:rsid w:val="41B10536"/>
    <w:rsid w:val="45D80046"/>
    <w:rsid w:val="466EB6AF"/>
    <w:rsid w:val="47D9E01F"/>
    <w:rsid w:val="4AFE0F5D"/>
    <w:rsid w:val="4B5FDC23"/>
    <w:rsid w:val="4BF7CB2B"/>
    <w:rsid w:val="4CD38AC8"/>
    <w:rsid w:val="4DFF741E"/>
    <w:rsid w:val="4F3E3569"/>
    <w:rsid w:val="4F7F6409"/>
    <w:rsid w:val="52FF822D"/>
    <w:rsid w:val="53EF787A"/>
    <w:rsid w:val="53F75CB3"/>
    <w:rsid w:val="53FF9810"/>
    <w:rsid w:val="55FB6290"/>
    <w:rsid w:val="56FA6A15"/>
    <w:rsid w:val="572B031C"/>
    <w:rsid w:val="573E5581"/>
    <w:rsid w:val="575BD8B9"/>
    <w:rsid w:val="57E73209"/>
    <w:rsid w:val="5AF3219A"/>
    <w:rsid w:val="5AFD0947"/>
    <w:rsid w:val="5BE5F22E"/>
    <w:rsid w:val="5CD76D6C"/>
    <w:rsid w:val="5D665F18"/>
    <w:rsid w:val="5DCD782B"/>
    <w:rsid w:val="5DD72CB2"/>
    <w:rsid w:val="5DFAD9E7"/>
    <w:rsid w:val="5E9B5046"/>
    <w:rsid w:val="5EB79044"/>
    <w:rsid w:val="5EFE20BC"/>
    <w:rsid w:val="5F1768E4"/>
    <w:rsid w:val="5F1F2A96"/>
    <w:rsid w:val="5F780B1E"/>
    <w:rsid w:val="5FB72549"/>
    <w:rsid w:val="5FBF646A"/>
    <w:rsid w:val="5FDD5B51"/>
    <w:rsid w:val="5FF5251E"/>
    <w:rsid w:val="5FFB0CAC"/>
    <w:rsid w:val="5FFF3AF3"/>
    <w:rsid w:val="5FFFD5BC"/>
    <w:rsid w:val="5FFFF91F"/>
    <w:rsid w:val="5FFFFC8E"/>
    <w:rsid w:val="62EEF9B6"/>
    <w:rsid w:val="6539DCEC"/>
    <w:rsid w:val="653FCC93"/>
    <w:rsid w:val="66EDDE21"/>
    <w:rsid w:val="675FDAD6"/>
    <w:rsid w:val="6772C8EC"/>
    <w:rsid w:val="67A756EF"/>
    <w:rsid w:val="67B6A504"/>
    <w:rsid w:val="6893E493"/>
    <w:rsid w:val="68D93810"/>
    <w:rsid w:val="69CB86AE"/>
    <w:rsid w:val="6B776061"/>
    <w:rsid w:val="6BDDBE45"/>
    <w:rsid w:val="6BDFC858"/>
    <w:rsid w:val="6BEF0DC7"/>
    <w:rsid w:val="6BFF1D6F"/>
    <w:rsid w:val="6C678593"/>
    <w:rsid w:val="6DAF7C13"/>
    <w:rsid w:val="6E2F3798"/>
    <w:rsid w:val="6E3EE638"/>
    <w:rsid w:val="6EF2B5AB"/>
    <w:rsid w:val="6EF3A575"/>
    <w:rsid w:val="6EF94A4E"/>
    <w:rsid w:val="6F5FA9EF"/>
    <w:rsid w:val="6F7B6C1C"/>
    <w:rsid w:val="6F7D0B72"/>
    <w:rsid w:val="6F7D5794"/>
    <w:rsid w:val="6F7FBBF0"/>
    <w:rsid w:val="6FC72A35"/>
    <w:rsid w:val="6FF784D1"/>
    <w:rsid w:val="6FFB3670"/>
    <w:rsid w:val="6FFF29FC"/>
    <w:rsid w:val="70FA56E3"/>
    <w:rsid w:val="71F4309D"/>
    <w:rsid w:val="723D9E62"/>
    <w:rsid w:val="73DAC9BC"/>
    <w:rsid w:val="73E52387"/>
    <w:rsid w:val="73E58422"/>
    <w:rsid w:val="73FB776B"/>
    <w:rsid w:val="73FF8D8B"/>
    <w:rsid w:val="73FFA6B7"/>
    <w:rsid w:val="747F1C4D"/>
    <w:rsid w:val="74EFDDC1"/>
    <w:rsid w:val="75710647"/>
    <w:rsid w:val="757D2F14"/>
    <w:rsid w:val="76A88B03"/>
    <w:rsid w:val="76AFAD36"/>
    <w:rsid w:val="76BFCD45"/>
    <w:rsid w:val="76FB02BD"/>
    <w:rsid w:val="76FD7649"/>
    <w:rsid w:val="77AB8252"/>
    <w:rsid w:val="77AD46B0"/>
    <w:rsid w:val="77AFEBE3"/>
    <w:rsid w:val="77BDFA0C"/>
    <w:rsid w:val="77CC4CCF"/>
    <w:rsid w:val="77DF2D95"/>
    <w:rsid w:val="77E64630"/>
    <w:rsid w:val="77EFD024"/>
    <w:rsid w:val="77FA1C1A"/>
    <w:rsid w:val="77FB4BE0"/>
    <w:rsid w:val="77FF6BFB"/>
    <w:rsid w:val="77FFBA13"/>
    <w:rsid w:val="77FFCD55"/>
    <w:rsid w:val="787FED28"/>
    <w:rsid w:val="789F37A9"/>
    <w:rsid w:val="797701BD"/>
    <w:rsid w:val="798F0693"/>
    <w:rsid w:val="79BEE982"/>
    <w:rsid w:val="79EF0C76"/>
    <w:rsid w:val="7A3D8BF1"/>
    <w:rsid w:val="7AEFB27C"/>
    <w:rsid w:val="7AFC1C5E"/>
    <w:rsid w:val="7AFEB5D4"/>
    <w:rsid w:val="7B1FAF32"/>
    <w:rsid w:val="7B3FB649"/>
    <w:rsid w:val="7B4B0D29"/>
    <w:rsid w:val="7B7FA203"/>
    <w:rsid w:val="7BDD0D45"/>
    <w:rsid w:val="7BDD293E"/>
    <w:rsid w:val="7BED3FB3"/>
    <w:rsid w:val="7BEE56D0"/>
    <w:rsid w:val="7BFFB15C"/>
    <w:rsid w:val="7CBE3877"/>
    <w:rsid w:val="7D2C694E"/>
    <w:rsid w:val="7D6FA1A3"/>
    <w:rsid w:val="7DBBA179"/>
    <w:rsid w:val="7DBBC015"/>
    <w:rsid w:val="7DEE20EF"/>
    <w:rsid w:val="7DFF20E3"/>
    <w:rsid w:val="7E65AE03"/>
    <w:rsid w:val="7E7D717A"/>
    <w:rsid w:val="7ECDC34B"/>
    <w:rsid w:val="7ECFFF28"/>
    <w:rsid w:val="7EDEE27F"/>
    <w:rsid w:val="7EDFD631"/>
    <w:rsid w:val="7EE7D82A"/>
    <w:rsid w:val="7EEF0503"/>
    <w:rsid w:val="7EEFCCD5"/>
    <w:rsid w:val="7EFD5508"/>
    <w:rsid w:val="7EFDEB21"/>
    <w:rsid w:val="7EFE4AB7"/>
    <w:rsid w:val="7EFE5EE2"/>
    <w:rsid w:val="7EFFA209"/>
    <w:rsid w:val="7EFFB543"/>
    <w:rsid w:val="7F3FC71C"/>
    <w:rsid w:val="7F6F4B64"/>
    <w:rsid w:val="7F7D48F4"/>
    <w:rsid w:val="7F7F50DB"/>
    <w:rsid w:val="7F8A8223"/>
    <w:rsid w:val="7F8DE920"/>
    <w:rsid w:val="7F8F413C"/>
    <w:rsid w:val="7FA3F90D"/>
    <w:rsid w:val="7FB6C281"/>
    <w:rsid w:val="7FB70C72"/>
    <w:rsid w:val="7FB74ECC"/>
    <w:rsid w:val="7FB7C9D5"/>
    <w:rsid w:val="7FBF54ED"/>
    <w:rsid w:val="7FD7188F"/>
    <w:rsid w:val="7FDA52E4"/>
    <w:rsid w:val="7FDF0BB2"/>
    <w:rsid w:val="7FDF6ABF"/>
    <w:rsid w:val="7FE6704C"/>
    <w:rsid w:val="7FEA283E"/>
    <w:rsid w:val="7FEF629D"/>
    <w:rsid w:val="7FF70697"/>
    <w:rsid w:val="7FF7779E"/>
    <w:rsid w:val="7FF7C060"/>
    <w:rsid w:val="7FF97310"/>
    <w:rsid w:val="7FFA9E8A"/>
    <w:rsid w:val="7FFAC9C3"/>
    <w:rsid w:val="7FFD662F"/>
    <w:rsid w:val="7FFED3EF"/>
    <w:rsid w:val="86CE348F"/>
    <w:rsid w:val="87FD4061"/>
    <w:rsid w:val="887742BD"/>
    <w:rsid w:val="89BF1E5A"/>
    <w:rsid w:val="8FB73E5A"/>
    <w:rsid w:val="93FFCCA6"/>
    <w:rsid w:val="9537AACC"/>
    <w:rsid w:val="9B4F1210"/>
    <w:rsid w:val="9D7B32F0"/>
    <w:rsid w:val="9DE7D7E7"/>
    <w:rsid w:val="9DEF42D2"/>
    <w:rsid w:val="9F17D7D0"/>
    <w:rsid w:val="9F4F8047"/>
    <w:rsid w:val="9FD779D3"/>
    <w:rsid w:val="9FFDE1BC"/>
    <w:rsid w:val="A71B4AD1"/>
    <w:rsid w:val="AB73F0AE"/>
    <w:rsid w:val="ABB9E913"/>
    <w:rsid w:val="ABFF4042"/>
    <w:rsid w:val="AC37FEF3"/>
    <w:rsid w:val="AC6DD0C8"/>
    <w:rsid w:val="ADFAAF20"/>
    <w:rsid w:val="AEF6D5A0"/>
    <w:rsid w:val="AFBF594F"/>
    <w:rsid w:val="AFBF9DC9"/>
    <w:rsid w:val="AFFCC1B6"/>
    <w:rsid w:val="AFFF3F2F"/>
    <w:rsid w:val="B2FFDB1A"/>
    <w:rsid w:val="B67D3683"/>
    <w:rsid w:val="B6DF84D3"/>
    <w:rsid w:val="B7498393"/>
    <w:rsid w:val="B96F02FD"/>
    <w:rsid w:val="B98F253A"/>
    <w:rsid w:val="B99F1026"/>
    <w:rsid w:val="B9E92AE8"/>
    <w:rsid w:val="BA87D4CF"/>
    <w:rsid w:val="BADBE0F6"/>
    <w:rsid w:val="BADC941D"/>
    <w:rsid w:val="BAFF0766"/>
    <w:rsid w:val="BBBFFC08"/>
    <w:rsid w:val="BBEBB5A1"/>
    <w:rsid w:val="BBF74133"/>
    <w:rsid w:val="BBFF6EA4"/>
    <w:rsid w:val="BCDF26E4"/>
    <w:rsid w:val="BCE5D487"/>
    <w:rsid w:val="BCF99137"/>
    <w:rsid w:val="BD1EC858"/>
    <w:rsid w:val="BD779150"/>
    <w:rsid w:val="BEAE2108"/>
    <w:rsid w:val="BEBF122D"/>
    <w:rsid w:val="BEDEA97E"/>
    <w:rsid w:val="BF3D54AC"/>
    <w:rsid w:val="BF3DEE77"/>
    <w:rsid w:val="BF6A8D02"/>
    <w:rsid w:val="BFBF4DFA"/>
    <w:rsid w:val="BFDF3E1A"/>
    <w:rsid w:val="BFEDAB39"/>
    <w:rsid w:val="BFF79185"/>
    <w:rsid w:val="BFFD3112"/>
    <w:rsid w:val="BFFD3CEF"/>
    <w:rsid w:val="C5DCD169"/>
    <w:rsid w:val="C5FFB32B"/>
    <w:rsid w:val="C7F029EF"/>
    <w:rsid w:val="CB7D237D"/>
    <w:rsid w:val="CBBB334B"/>
    <w:rsid w:val="CBFEFF67"/>
    <w:rsid w:val="CEF3440F"/>
    <w:rsid w:val="CF9D6F45"/>
    <w:rsid w:val="CFEF5C5B"/>
    <w:rsid w:val="CFF733A7"/>
    <w:rsid w:val="CFF749E1"/>
    <w:rsid w:val="CFFED05F"/>
    <w:rsid w:val="D56500E5"/>
    <w:rsid w:val="D67DB2F8"/>
    <w:rsid w:val="D7FF7524"/>
    <w:rsid w:val="D7FFD37C"/>
    <w:rsid w:val="D9BED48E"/>
    <w:rsid w:val="D9DFFFDC"/>
    <w:rsid w:val="DAA7AE72"/>
    <w:rsid w:val="DBBB4EF5"/>
    <w:rsid w:val="DBF3C952"/>
    <w:rsid w:val="DBFB2A3A"/>
    <w:rsid w:val="DBFF141C"/>
    <w:rsid w:val="DD9B4E43"/>
    <w:rsid w:val="DE3DA6B0"/>
    <w:rsid w:val="DE7F8F9A"/>
    <w:rsid w:val="DEA5EB1B"/>
    <w:rsid w:val="DEE7EBEA"/>
    <w:rsid w:val="DF7FD1C8"/>
    <w:rsid w:val="DFFBC40A"/>
    <w:rsid w:val="E0FDB1F5"/>
    <w:rsid w:val="E1E7E96E"/>
    <w:rsid w:val="E2D5DFEC"/>
    <w:rsid w:val="E2FDBEEF"/>
    <w:rsid w:val="E3FD84BF"/>
    <w:rsid w:val="E5D5F539"/>
    <w:rsid w:val="E61BBC28"/>
    <w:rsid w:val="E64F5F62"/>
    <w:rsid w:val="E677C13F"/>
    <w:rsid w:val="E71E761C"/>
    <w:rsid w:val="E7EF0A1C"/>
    <w:rsid w:val="E98381C2"/>
    <w:rsid w:val="EAAC457B"/>
    <w:rsid w:val="EB8FA827"/>
    <w:rsid w:val="EBEC5F8B"/>
    <w:rsid w:val="EBF3DBB8"/>
    <w:rsid w:val="EC5D031F"/>
    <w:rsid w:val="ED37DC44"/>
    <w:rsid w:val="EDBF17B7"/>
    <w:rsid w:val="EDDF4238"/>
    <w:rsid w:val="EDEBB888"/>
    <w:rsid w:val="EDFD4FD2"/>
    <w:rsid w:val="EEEDFDDA"/>
    <w:rsid w:val="EEF3714D"/>
    <w:rsid w:val="EF7BE93B"/>
    <w:rsid w:val="EF7FBF81"/>
    <w:rsid w:val="EFAF9E83"/>
    <w:rsid w:val="EFBB9465"/>
    <w:rsid w:val="EFD5C89E"/>
    <w:rsid w:val="EFE7B26E"/>
    <w:rsid w:val="EFF75070"/>
    <w:rsid w:val="EFFDC919"/>
    <w:rsid w:val="F0FD3CC6"/>
    <w:rsid w:val="F37FDCB7"/>
    <w:rsid w:val="F396F9D6"/>
    <w:rsid w:val="F3FBCDD3"/>
    <w:rsid w:val="F3FFBF72"/>
    <w:rsid w:val="F423E3FD"/>
    <w:rsid w:val="F4FAB7A3"/>
    <w:rsid w:val="F4FFECC6"/>
    <w:rsid w:val="F56D51BD"/>
    <w:rsid w:val="F5DF2104"/>
    <w:rsid w:val="F5E2D53D"/>
    <w:rsid w:val="F5FF7CE3"/>
    <w:rsid w:val="F6766F47"/>
    <w:rsid w:val="F6BE1000"/>
    <w:rsid w:val="F6FB678E"/>
    <w:rsid w:val="F76F3574"/>
    <w:rsid w:val="F76F683D"/>
    <w:rsid w:val="F78D6D24"/>
    <w:rsid w:val="F7B7DE55"/>
    <w:rsid w:val="F7D7B682"/>
    <w:rsid w:val="F7E68276"/>
    <w:rsid w:val="F7EB3209"/>
    <w:rsid w:val="F7EEBE5D"/>
    <w:rsid w:val="F7EFECB4"/>
    <w:rsid w:val="F7F540E1"/>
    <w:rsid w:val="F7F7EFF4"/>
    <w:rsid w:val="F879FEEC"/>
    <w:rsid w:val="F9EFDBC1"/>
    <w:rsid w:val="F9FF4CF2"/>
    <w:rsid w:val="F9FFCBCD"/>
    <w:rsid w:val="FA182A20"/>
    <w:rsid w:val="FA8E92C3"/>
    <w:rsid w:val="FB5D4B80"/>
    <w:rsid w:val="FB6E1E3B"/>
    <w:rsid w:val="FB777A0F"/>
    <w:rsid w:val="FB7ADAF9"/>
    <w:rsid w:val="FB7DF2C0"/>
    <w:rsid w:val="FB7EFD05"/>
    <w:rsid w:val="FB7FD607"/>
    <w:rsid w:val="FB7FE8F0"/>
    <w:rsid w:val="FBE962AC"/>
    <w:rsid w:val="FBEE0179"/>
    <w:rsid w:val="FBF209CF"/>
    <w:rsid w:val="FBF3B110"/>
    <w:rsid w:val="FC7001D0"/>
    <w:rsid w:val="FC8FB6AB"/>
    <w:rsid w:val="FD572D84"/>
    <w:rsid w:val="FD7F175A"/>
    <w:rsid w:val="FD7FF0D3"/>
    <w:rsid w:val="FDBF3793"/>
    <w:rsid w:val="FDDF10A9"/>
    <w:rsid w:val="FDEE9316"/>
    <w:rsid w:val="FDF82FDF"/>
    <w:rsid w:val="FDFDEA19"/>
    <w:rsid w:val="FDFF1AB1"/>
    <w:rsid w:val="FDFFD7D6"/>
    <w:rsid w:val="FEBE3931"/>
    <w:rsid w:val="FEDB1293"/>
    <w:rsid w:val="FEDFDFF4"/>
    <w:rsid w:val="FEE4809A"/>
    <w:rsid w:val="FEEF7984"/>
    <w:rsid w:val="FF7FF939"/>
    <w:rsid w:val="FF8B1831"/>
    <w:rsid w:val="FFD8A9EC"/>
    <w:rsid w:val="FFD9F597"/>
    <w:rsid w:val="FFDDE93A"/>
    <w:rsid w:val="FFDE63C4"/>
    <w:rsid w:val="FFE732D0"/>
    <w:rsid w:val="FFE7F520"/>
    <w:rsid w:val="FFEBC306"/>
    <w:rsid w:val="FFEDD8AD"/>
    <w:rsid w:val="FFEF5FD6"/>
    <w:rsid w:val="FFEF6F25"/>
    <w:rsid w:val="FFF32848"/>
    <w:rsid w:val="FFF65211"/>
    <w:rsid w:val="FFF69FB5"/>
    <w:rsid w:val="FFF6EA12"/>
    <w:rsid w:val="FFF7863B"/>
    <w:rsid w:val="FFF8C07D"/>
    <w:rsid w:val="FFF970CA"/>
    <w:rsid w:val="FFFA5EED"/>
    <w:rsid w:val="FFFDCFB1"/>
    <w:rsid w:val="FFFE4528"/>
    <w:rsid w:val="FFFEE50B"/>
    <w:rsid w:val="FFFF03F3"/>
    <w:rsid w:val="FFFF104F"/>
    <w:rsid w:val="FFFF6850"/>
    <w:rsid w:val="FFFF8EEB"/>
    <w:rsid w:val="FFFFD90E"/>
    <w:rsid w:val="FFFFE0C9"/>
    <w:rsid w:val="FFFFF8B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4"/>
      <w:szCs w:val="22"/>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cstheme="majorBidi"/>
      <w:b/>
      <w:bCs/>
      <w:sz w:val="32"/>
      <w:szCs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character" w:default="1" w:styleId="12">
    <w:name w:val="Default Paragraph Font"/>
    <w:semiHidden/>
    <w:unhideWhenUsed/>
    <w:uiPriority w:val="1"/>
  </w:style>
  <w:style w:type="table" w:default="1" w:styleId="10">
    <w:name w:val="Normal Table"/>
    <w:semiHidden/>
    <w:unhideWhenUsed/>
    <w:uiPriority w:val="99"/>
    <w:pPr>
      <w:keepNext w:val="0"/>
      <w:keepLines w:val="0"/>
      <w:widowControl/>
      <w:suppressLineNumbers w:val="0"/>
      <w:spacing w:before="0" w:beforeAutospacing="0" w:after="0" w:afterAutospacing="0"/>
      <w:ind w:left="0" w:right="0"/>
    </w:pPr>
    <w:rPr>
      <w:rFonts w:hint="eastAsia" w:ascii="等线" w:hAnsi="等线" w:eastAsia="等线" w:cs="等线"/>
      <w:sz w:val="20"/>
      <w:szCs w:val="20"/>
    </w:rPr>
    <w:tblPr>
      <w:tblLayout w:type="fixed"/>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link w:val="24"/>
    <w:semiHidden/>
    <w:unhideWhenUsed/>
    <w:uiPriority w:val="99"/>
    <w:pPr>
      <w:keepNext w:val="0"/>
      <w:keepLines w:val="0"/>
      <w:widowControl w:val="0"/>
      <w:suppressLineNumbers w:val="0"/>
      <w:autoSpaceDE w:val="0"/>
      <w:autoSpaceDN w:val="0"/>
      <w:spacing w:before="0" w:beforeAutospacing="0" w:after="0" w:afterAutospacing="0"/>
      <w:ind w:left="677" w:right="0"/>
      <w:jc w:val="left"/>
    </w:pPr>
    <w:rPr>
      <w:rFonts w:hint="eastAsia" w:ascii="宋体" w:hAnsi="宋体" w:eastAsia="宋体" w:cs="宋体"/>
      <w:kern w:val="0"/>
      <w:sz w:val="18"/>
      <w:szCs w:val="18"/>
      <w:lang w:val="en-US" w:eastAsia="zh-CN" w:bidi="ar"/>
    </w:rPr>
  </w:style>
  <w:style w:type="paragraph" w:styleId="7">
    <w:name w:val="footer"/>
    <w:basedOn w:val="1"/>
    <w:link w:val="16"/>
    <w:unhideWhenUsed/>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uiPriority w:val="99"/>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page number"/>
    <w:basedOn w:val="12"/>
    <w:semiHidden/>
    <w:unhideWhenUsed/>
    <w:qFormat/>
    <w:uiPriority w:val="99"/>
  </w:style>
  <w:style w:type="character" w:styleId="14">
    <w:name w:val="annotation reference"/>
    <w:basedOn w:val="12"/>
    <w:semiHidden/>
    <w:unhideWhenUsed/>
    <w:uiPriority w:val="99"/>
    <w:rPr>
      <w:sz w:val="21"/>
      <w:szCs w:val="21"/>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character" w:customStyle="1" w:styleId="17">
    <w:name w:val="标题 1 字符"/>
    <w:basedOn w:val="12"/>
    <w:link w:val="2"/>
    <w:qFormat/>
    <w:uiPriority w:val="9"/>
    <w:rPr>
      <w:rFonts w:ascii="宋体" w:hAnsi="宋体" w:eastAsia="宋体"/>
      <w:b/>
      <w:bCs/>
      <w:kern w:val="44"/>
      <w:sz w:val="44"/>
      <w:szCs w:val="44"/>
    </w:rPr>
  </w:style>
  <w:style w:type="character" w:customStyle="1" w:styleId="18">
    <w:name w:val="标题 2 字符"/>
    <w:basedOn w:val="12"/>
    <w:link w:val="3"/>
    <w:qFormat/>
    <w:uiPriority w:val="9"/>
    <w:rPr>
      <w:rFonts w:ascii="宋体" w:hAnsi="宋体" w:eastAsia="宋体" w:cstheme="majorBidi"/>
      <w:b/>
      <w:bCs/>
      <w:sz w:val="32"/>
      <w:szCs w:val="32"/>
    </w:rPr>
  </w:style>
  <w:style w:type="paragraph" w:styleId="19">
    <w:name w:val="List Paragraph"/>
    <w:basedOn w:val="1"/>
    <w:qFormat/>
    <w:uiPriority w:val="34"/>
    <w:pPr>
      <w:ind w:firstLine="420" w:firstLineChars="200"/>
    </w:pPr>
  </w:style>
  <w:style w:type="paragraph" w:customStyle="1" w:styleId="20">
    <w:name w:val="Table Paragraph"/>
    <w:basedOn w:val="1"/>
    <w:qFormat/>
    <w:uiPriority w:val="0"/>
    <w:pPr>
      <w:autoSpaceDE w:val="0"/>
      <w:autoSpaceDN w:val="0"/>
      <w:spacing w:before="15" w:line="228" w:lineRule="exact"/>
      <w:ind w:left="14"/>
      <w:jc w:val="left"/>
    </w:pPr>
    <w:rPr>
      <w:rFonts w:hint="eastAsia" w:cs="Times New Roman"/>
      <w:kern w:val="0"/>
      <w:sz w:val="22"/>
    </w:rPr>
  </w:style>
  <w:style w:type="table" w:customStyle="1" w:styleId="21">
    <w:name w:val="Table Normal"/>
    <w:basedOn w:val="10"/>
    <w:semiHidden/>
    <w:uiPriority w:val="0"/>
    <w:pPr>
      <w:widowControl w:val="0"/>
      <w:autoSpaceDE w:val="0"/>
      <w:autoSpaceDN w:val="0"/>
    </w:pPr>
    <w:rPr>
      <w:rFonts w:ascii="Calibri" w:hAnsi="Calibri" w:cs="Times New Roman"/>
      <w:sz w:val="22"/>
      <w:szCs w:val="22"/>
      <w:lang w:eastAsia="en-US"/>
    </w:rPr>
    <w:tblPr>
      <w:tblLayout w:type="fixed"/>
      <w:tblCellMar>
        <w:left w:w="0" w:type="dxa"/>
        <w:right w:w="0" w:type="dxa"/>
      </w:tblCellMar>
    </w:tblPr>
  </w:style>
  <w:style w:type="character" w:customStyle="1" w:styleId="22">
    <w:name w:val="font01"/>
    <w:basedOn w:val="12"/>
    <w:uiPriority w:val="0"/>
    <w:rPr>
      <w:rFonts w:hint="eastAsia" w:ascii="宋体" w:hAnsi="宋体" w:eastAsia="宋体" w:cs="宋体"/>
      <w:b/>
      <w:color w:val="0D0D0D"/>
      <w:sz w:val="18"/>
      <w:szCs w:val="18"/>
      <w:u w:val="none"/>
    </w:rPr>
  </w:style>
  <w:style w:type="character" w:customStyle="1" w:styleId="23">
    <w:name w:val="font31"/>
    <w:basedOn w:val="12"/>
    <w:uiPriority w:val="0"/>
    <w:rPr>
      <w:rFonts w:hint="eastAsia" w:ascii="宋体" w:hAnsi="宋体" w:eastAsia="宋体" w:cs="宋体"/>
      <w:color w:val="0D0D0D"/>
      <w:sz w:val="18"/>
      <w:szCs w:val="18"/>
      <w:u w:val="none"/>
    </w:rPr>
  </w:style>
  <w:style w:type="character" w:customStyle="1" w:styleId="24">
    <w:name w:val="正文文本 字符"/>
    <w:basedOn w:val="12"/>
    <w:link w:val="6"/>
    <w:uiPriority w:val="0"/>
    <w:rPr>
      <w:rFonts w:hint="eastAsia"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8492</Words>
  <Characters>48405</Characters>
  <Lines>403</Lines>
  <Paragraphs>113</Paragraphs>
  <TotalTime>0</TotalTime>
  <ScaleCrop>false</ScaleCrop>
  <LinksUpToDate>false</LinksUpToDate>
  <CharactersWithSpaces>56784</CharactersWithSpaces>
  <Application>WWO_base_provider_20210929220102-c9fcf70066</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2022-08-25T23:48:00Z</dcterms:created>
  <dc:creator>life gamer</dc:creator>
  <cp:lastModifiedBy>Administrator</cp:lastModifiedBy>
  <dcterms:modified xsi:type="dcterms:W3CDTF">2022-09-21T14:59:34Z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woTemplateTypoMode" linkTarget="0">
    <vt:lpwstr>web</vt:lpwstr>
  </property>
  <property fmtid="{D5CDD505-2E9C-101B-9397-08002B2CF9AE}" pid="4" name="woTemplate" linkTarget="0">
    <vt:i4>1</vt:i4>
  </property>
</Properties>
</file>